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720"/>
      </w:pPr>
    </w:p>
    <w:p>
      <w:pPr>
        <w:spacing w:after="360"/>
        <w:jc w:val="center"/>
      </w:pPr>
      <w:r>
        <w:rPr>
          <w:rFonts w:ascii="Arial" w:hAnsi="Arial" w:eastAsia="Arial"/>
          <w:b/>
          <w:color w:val="F25A00"/>
          <w:sz w:val="20"/>
        </w:rPr>
        <w:t>ПРАКТИЧЕСКИЙ ГАЙД ДЛЯ ВЛАДЕЛЬЦЕВ БИЗНЕСА</w:t>
      </w:r>
    </w:p>
    <w:p>
      <w:pPr>
        <w:spacing w:after="280"/>
        <w:jc w:val="center"/>
      </w:pPr>
      <w:r>
        <w:rPr>
          <w:rFonts w:ascii="Arial" w:hAnsi="Arial" w:eastAsia="Arial"/>
          <w:b/>
          <w:color w:val="173B75"/>
          <w:sz w:val="58"/>
        </w:rPr>
        <w:t>10 ошибок при регистрации</w:t>
        <w:br/>
        <w:t>товарного знака</w:t>
      </w:r>
    </w:p>
    <w:p>
      <w:pPr>
        <w:spacing w:after="680"/>
        <w:jc w:val="center"/>
      </w:pPr>
      <w:r>
        <w:rPr>
          <w:rFonts w:ascii="Arial" w:hAnsi="Arial" w:eastAsia="Arial"/>
          <w:b/>
          <w:color w:val="F25A00"/>
          <w:sz w:val="34"/>
        </w:rPr>
        <w:t>Из-за которых вы можете потерять бренд</w:t>
        <w:br/>
        <w:t>и выплатить до 10 млн ₽ компенсации</w:t>
      </w:r>
    </w:p>
    <w:p>
      <w:pPr>
        <w:spacing w:after="440"/>
        <w:jc w:val="center"/>
      </w:pPr>
      <w:r>
        <w:rPr>
          <w:rFonts w:ascii="Arial" w:hAnsi="Arial" w:eastAsia="Arial"/>
          <w:color w:val="101827"/>
          <w:sz w:val="24"/>
        </w:rPr>
        <w:t>10 зон риска, чек-листы для самопроверки</w:t>
        <w:br/>
        <w:t>и понятные действия до подачи заявки</w:t>
      </w:r>
    </w:p>
    <w:p>
      <w:pPr>
        <w:spacing w:before="880" w:after="160"/>
        <w:jc w:val="center"/>
      </w:pPr>
      <w:r>
        <w:rPr>
          <w:rFonts w:ascii="Arial" w:hAnsi="Arial" w:eastAsia="Arial"/>
          <w:b/>
          <w:color w:val="173B75"/>
          <w:sz w:val="22"/>
        </w:rPr>
        <w:t>ПАТЕНТНОЕ БЮРО «ПАТЕНТ 24»</w:t>
      </w:r>
    </w:p>
    <w:p>
      <w:pPr>
        <w:jc w:val="center"/>
      </w:pPr>
      <w:hyperlink r:id="rId13">
        <w:r>
          <w:rPr>
            <w:rFonts w:ascii="Arial" w:hAnsi="Arial" w:eastAsia="Arial"/>
            <w:color w:val="2B66A5"/>
            <w:u w:val="single"/>
            <w:sz w:val="21"/>
          </w:rPr>
          <w:t>patent24.online</w:t>
        </w:r>
      </w:hyperlink>
    </w:p>
    <w:p>
      <w:pPr>
        <w:jc w:val="center"/>
      </w:pPr>
      <w:r>
        <w:rPr>
          <w:rFonts w:ascii="Arial" w:hAnsi="Arial" w:eastAsia="Arial"/>
          <w:color w:val="5F6B7A"/>
          <w:sz w:val="19"/>
        </w:rPr>
        <w:t>Материал актуализирован 15 августа 2026 года</w:t>
      </w:r>
    </w:p>
    <w:p>
      <w:r>
        <w:br w:type="page"/>
      </w:r>
    </w:p>
    <w:p>
      <w:pPr>
        <w:pStyle w:val="Heading1"/>
      </w:pPr>
      <w:r>
        <w:t>Как пользоваться гайдом</w:t>
      </w:r>
    </w:p>
    <w:p>
      <w:pPr/>
      <w:r>
        <w:rPr>
          <w:rFonts w:ascii="Arial" w:hAnsi="Arial" w:eastAsia="Arial"/>
          <w:color w:val="101827"/>
          <w:sz w:val="22"/>
        </w:rPr>
        <w:t>Последовательно проверьте свой бренд по десяти разделам. Отмечайте пункты, которые уже выполнены. Если в одном из разделов вы не можете уверенно поставить все отметки, желательно разобраться с этим вопросом до подачи заявки, оплаты государственных пошлин и крупных вложений в рекламу, упаковку или производство.</w:t>
      </w:r>
    </w:p>
    <w:p>
      <w:pPr/>
      <w:r>
        <w:rPr>
          <w:rFonts w:ascii="Arial" w:hAnsi="Arial" w:eastAsia="Arial"/>
          <w:color w:val="101827"/>
          <w:sz w:val="22"/>
        </w:rPr>
        <w:t>Этот гайд поможет: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заметить основные риски;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подготовить вопросы для специалиста;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определить, какие документы и сведения необходимо собрать;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понять, можно ли переходить к подаче заявки.</w:t>
      </w:r>
    </w:p>
    <w:p>
      <w:pPr/>
      <w:hyperlink r:id="rId14">
        <w:r>
          <w:rPr>
            <w:rFonts w:ascii="Arial" w:hAnsi="Arial" w:eastAsia="Arial"/>
            <w:color w:val="2B66A5"/>
            <w:u w:val="single"/>
            <w:sz w:val="21"/>
          </w:rPr>
          <w:t>Открыть полную онлайн-версию материала</w:t>
        </w:r>
      </w:hyperlink>
    </w:p>
    <w:p>
      <w:pPr>
        <w:pStyle w:val="Heading1"/>
      </w:pPr>
      <w:r>
        <w:t>Содержание</w:t>
      </w:r>
    </w:p>
    <w:p>
      <w:pPr>
        <w:pStyle w:val="GuideList"/>
        <w:numPr>
          <w:ilvl w:val="0"/>
          <w:numId w:val="13"/>
        </w:numPr>
      </w:pPr>
      <w:r>
        <w:rPr>
          <w:rFonts w:ascii="Arial" w:hAnsi="Arial" w:eastAsia="Arial"/>
          <w:color w:val="101827"/>
          <w:sz w:val="22"/>
        </w:rPr>
        <w:t>«Я придумал название первым — значит, оно моё»</w:t>
      </w:r>
    </w:p>
    <w:p>
      <w:pPr>
        <w:pStyle w:val="GuideList"/>
        <w:numPr>
          <w:ilvl w:val="0"/>
          <w:numId w:val="13"/>
        </w:numPr>
      </w:pPr>
      <w:r>
        <w:rPr>
          <w:rFonts w:ascii="Arial" w:hAnsi="Arial" w:eastAsia="Arial"/>
          <w:color w:val="101827"/>
          <w:sz w:val="22"/>
        </w:rPr>
        <w:t>«Точного совпадения нет — значит, название свободно»</w:t>
      </w:r>
    </w:p>
    <w:p>
      <w:pPr>
        <w:pStyle w:val="GuideList"/>
        <w:numPr>
          <w:ilvl w:val="0"/>
          <w:numId w:val="13"/>
        </w:numPr>
      </w:pPr>
      <w:r>
        <w:rPr>
          <w:rFonts w:ascii="Arial" w:hAnsi="Arial" w:eastAsia="Arial"/>
          <w:color w:val="101827"/>
          <w:sz w:val="22"/>
        </w:rPr>
        <w:t>«Сначала запустимся, а зарегистрировать успеем потом»</w:t>
      </w:r>
    </w:p>
    <w:p>
      <w:pPr>
        <w:pStyle w:val="GuideList"/>
        <w:numPr>
          <w:ilvl w:val="0"/>
          <w:numId w:val="13"/>
        </w:numPr>
      </w:pPr>
      <w:r>
        <w:rPr>
          <w:rFonts w:ascii="Arial" w:hAnsi="Arial" w:eastAsia="Arial"/>
          <w:color w:val="101827"/>
          <w:sz w:val="22"/>
        </w:rPr>
        <w:t>«Красивое название можно зарегистрировать в любом случае»</w:t>
      </w:r>
    </w:p>
    <w:p>
      <w:pPr>
        <w:pStyle w:val="GuideList"/>
        <w:numPr>
          <w:ilvl w:val="0"/>
          <w:numId w:val="13"/>
        </w:numPr>
      </w:pPr>
      <w:r>
        <w:rPr>
          <w:rFonts w:ascii="Arial" w:hAnsi="Arial" w:eastAsia="Arial"/>
          <w:color w:val="101827"/>
          <w:sz w:val="22"/>
        </w:rPr>
        <w:t>«Мы заплатили дизайнеру — значит, логотип принадлежит нам»</w:t>
      </w:r>
    </w:p>
    <w:p>
      <w:pPr>
        <w:pStyle w:val="GuideList"/>
        <w:numPr>
          <w:ilvl w:val="0"/>
          <w:numId w:val="13"/>
        </w:numPr>
      </w:pPr>
      <w:r>
        <w:rPr>
          <w:rFonts w:ascii="Arial" w:hAnsi="Arial" w:eastAsia="Arial"/>
          <w:color w:val="101827"/>
          <w:sz w:val="22"/>
        </w:rPr>
        <w:t>«Подадим заявку на того, на кого удобнее»</w:t>
      </w:r>
    </w:p>
    <w:p>
      <w:pPr>
        <w:pStyle w:val="GuideList"/>
        <w:numPr>
          <w:ilvl w:val="0"/>
          <w:numId w:val="13"/>
        </w:numPr>
      </w:pPr>
      <w:r>
        <w:rPr>
          <w:rFonts w:ascii="Arial" w:hAnsi="Arial" w:eastAsia="Arial"/>
          <w:color w:val="101827"/>
          <w:sz w:val="22"/>
        </w:rPr>
        <w:t>«Для выбора МКТУ достаточно посмотреть ОКВЭД»</w:t>
      </w:r>
    </w:p>
    <w:p>
      <w:pPr>
        <w:pStyle w:val="GuideList"/>
        <w:numPr>
          <w:ilvl w:val="0"/>
          <w:numId w:val="13"/>
        </w:numPr>
      </w:pPr>
      <w:r>
        <w:rPr>
          <w:rFonts w:ascii="Arial" w:hAnsi="Arial" w:eastAsia="Arial"/>
          <w:color w:val="101827"/>
          <w:sz w:val="22"/>
        </w:rPr>
        <w:t>«Одного товарного знака на логотип достаточно для защиты всего бренда»</w:t>
      </w:r>
    </w:p>
    <w:p>
      <w:pPr>
        <w:pStyle w:val="GuideList"/>
        <w:numPr>
          <w:ilvl w:val="0"/>
          <w:numId w:val="13"/>
        </w:numPr>
      </w:pPr>
      <w:r>
        <w:rPr>
          <w:rFonts w:ascii="Arial" w:hAnsi="Arial" w:eastAsia="Arial"/>
          <w:color w:val="101827"/>
          <w:sz w:val="22"/>
        </w:rPr>
        <w:t>«После подачи заявки остаётся только ждать»</w:t>
      </w:r>
    </w:p>
    <w:p>
      <w:pPr>
        <w:pStyle w:val="GuideList"/>
        <w:numPr>
          <w:ilvl w:val="0"/>
          <w:numId w:val="13"/>
        </w:numPr>
      </w:pPr>
      <w:r>
        <w:rPr>
          <w:rFonts w:ascii="Arial" w:hAnsi="Arial" w:eastAsia="Arial"/>
          <w:color w:val="101827"/>
          <w:sz w:val="22"/>
        </w:rPr>
        <w:t>«После получения свидетельства бренд защищён навсегда»</w:t>
      </w:r>
    </w:p>
    <w:p>
      <w:pPr>
        <w:pStyle w:val="Heading1"/>
      </w:pPr>
      <w:r>
        <w:t>Почему в заголовке указано «до 10 млн ₽»</w:t>
      </w:r>
    </w:p>
    <w:p>
      <w:pPr/>
      <w:r>
        <w:rPr>
          <w:rFonts w:ascii="Arial" w:hAnsi="Arial" w:eastAsia="Arial"/>
          <w:color w:val="101827"/>
          <w:sz w:val="22"/>
        </w:rPr>
        <w:t>Это не автоматический штраф за ошибку при подготовке или подаче заявки. Риск возникает, если бизнес использует обозначение, нарушающее исключительное право на чужой товарный знак.</w:t>
      </w:r>
    </w:p>
    <w:p>
      <w:pPr/>
      <w:r>
        <w:rPr>
          <w:rFonts w:ascii="Arial" w:hAnsi="Arial" w:eastAsia="Arial"/>
          <w:color w:val="101827"/>
          <w:sz w:val="22"/>
        </w:rPr>
        <w:t>Правообладатель может потребовать вместо возмещения убытков компенсацию. Один из предусмотренных законом вариантов — от 10 тысяч до 10 миллионов рублей. Требование заявляет правообладатель, а размер компенсации определяет суд с учётом обстоятельств дела.</w:t>
      </w:r>
    </w:p>
    <w:p>
      <w:pPr/>
      <w:r>
        <w:rPr>
          <w:rFonts w:ascii="Arial" w:hAnsi="Arial" w:eastAsia="Arial"/>
          <w:color w:val="101827"/>
          <w:sz w:val="22"/>
        </w:rPr>
        <w:t>Кроме денежного требования бизнес может столкнуться с необходимостью прекратить использование обозначения, удалить его с упаковки, рекламы, вывесок и документов, изъять товары из оборота или срочно провести ребрендинг.</w:t>
      </w:r>
    </w:p>
    <w:p>
      <w:pPr>
        <w:spacing w:before="160" w:after="240"/>
        <w:ind w:left="230" w:right="173"/>
        <w:pBdr>
          <w:left w:val="single" w:sz="18" w:space="8" w:color="F25A00"/>
        </w:pBdr>
        <w:shd w:fill="FFF2E8"/>
      </w:pPr>
      <w:r>
        <w:rPr>
          <w:rFonts w:ascii="Arial" w:hAnsi="Arial" w:eastAsia="Arial"/>
          <w:b/>
          <w:color w:val="F25A00"/>
          <w:sz w:val="22"/>
        </w:rPr>
        <w:t xml:space="preserve">Важно: </w:t>
      </w:r>
      <w:r>
        <w:rPr>
          <w:rFonts w:ascii="Arial" w:hAnsi="Arial" w:eastAsia="Arial"/>
          <w:b/>
          <w:color w:val="101827"/>
          <w:sz w:val="22"/>
        </w:rPr>
        <w:t>до 10 млн ₽ — возможная компенсация за нарушение чужого права, а не штраф за отказ в регистрации.</w:t>
      </w:r>
    </w:p>
    <w:p>
      <w:r>
        <w:rPr>
          <w:rFonts w:ascii="Arial" w:hAnsi="Arial" w:eastAsia="Arial"/>
          <w:color w:val="5F6B7A"/>
          <w:sz w:val="21"/>
        </w:rPr>
        <w:t xml:space="preserve">Правовое основание: </w:t>
      </w:r>
      <w:hyperlink r:id="rId15">
        <w:r>
          <w:rPr>
            <w:rFonts w:ascii="Arial" w:hAnsi="Arial" w:eastAsia="Arial"/>
            <w:color w:val="2B66A5"/>
            <w:u w:val="single"/>
            <w:sz w:val="21"/>
          </w:rPr>
          <w:t>статья 1515 ГК РФ</w:t>
        </w:r>
      </w:hyperlink>
    </w:p>
    <w:p>
      <w:pPr>
        <w:pStyle w:val="Heading2"/>
      </w:pPr>
      <w:r>
        <w:t>Проверьте бренд особенно внимательно, если вы уже: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заказали логотип, упаковку или фирменный стиль;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запустили сайт, рекламу или продажи;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вышли на маркетплейсы;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готовите крупный тираж продукции;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планируете открытие новой точки или запуск франшизы;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выбираете между несколькими названиями;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используете бренд через несколько компаний;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получили уведомление Роспатента или претензию правообладателя.</w:t>
      </w:r>
    </w:p>
    <w:p>
      <w:pPr>
        <w:pStyle w:val="Heading1"/>
      </w:pPr>
      <w:r>
        <w:t>Ошибка №1. «Я придумал название первым — значит, оно моё»</w:t>
      </w:r>
    </w:p>
    <w:p>
      <w:pPr>
        <w:pStyle w:val="Heading2"/>
      </w:pPr>
      <w:r>
        <w:t>В чём риск</w:t>
      </w:r>
    </w:p>
    <w:p>
      <w:pPr/>
      <w:r>
        <w:rPr>
          <w:rFonts w:ascii="Arial" w:hAnsi="Arial" w:eastAsia="Arial"/>
          <w:color w:val="101827"/>
          <w:sz w:val="22"/>
        </w:rPr>
        <w:t>Идея, домен, наименование компании, аккаунт в социальной сети или карточка на маркетплейсе сами по себе не создают исключительного права на товарный знак. Пока обозначение не проверено, бизнес может развивать бренд, который конфликтует с более ранней заявкой или зарегистрированным товарным знаком.</w:t>
      </w:r>
    </w:p>
    <w:p>
      <w:pPr>
        <w:pStyle w:val="Heading2"/>
      </w:pPr>
      <w:r>
        <w:t>Типовая ситуация</w:t>
      </w:r>
    </w:p>
    <w:p>
      <w:pPr/>
      <w:r>
        <w:rPr>
          <w:rFonts w:ascii="Arial" w:hAnsi="Arial" w:eastAsia="Arial"/>
          <w:color w:val="101827"/>
          <w:sz w:val="22"/>
        </w:rPr>
        <w:t>Компания вложилась в сайт, рекламу и упаковку. Позже выяснилось, что у другого лица уже есть более ранние права на сходное обозначение для однородных товаров или услуг.</w:t>
      </w:r>
    </w:p>
    <w:p>
      <w:pPr>
        <w:pStyle w:val="Heading2"/>
      </w:pPr>
      <w:r>
        <w:t>Что может потерять бизнес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вложения в рекламу и упаковку;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домен и карточки на площадках;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накопленную узнаваемость;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время и деньги на спор или ребрендинг.</w:t>
      </w:r>
    </w:p>
    <w:p>
      <w:pPr>
        <w:pStyle w:val="Heading2"/>
      </w:pPr>
      <w:r>
        <w:t>Проверьте себя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Название проверено по зарегистрированным товарным знакам.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Проверены ранее поданные заявки.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Учтены товары и услуги, для которых будет использоваться бренд.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Определён будущий правообладатель.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Заявка планируется до крупных вложений в запуск.</w:t>
      </w:r>
    </w:p>
    <w:p>
      <w:pPr>
        <w:pStyle w:val="Heading2"/>
      </w:pPr>
      <w:r>
        <w:t>Что сделать</w:t>
      </w:r>
    </w:p>
    <w:p>
      <w:pPr>
        <w:pStyle w:val="GuideList"/>
        <w:keepNext/>
        <w:numPr>
          <w:ilvl w:val="0"/>
          <w:numId w:val="14"/>
        </w:numPr>
      </w:pPr>
      <w:r>
        <w:rPr>
          <w:rFonts w:ascii="Arial" w:hAnsi="Arial" w:eastAsia="Arial"/>
          <w:color w:val="101827"/>
          <w:sz w:val="22"/>
        </w:rPr>
        <w:t>Провести поиск по обозначению.</w:t>
      </w:r>
    </w:p>
    <w:p>
      <w:pPr>
        <w:pStyle w:val="GuideList"/>
        <w:keepNext/>
        <w:numPr>
          <w:ilvl w:val="0"/>
          <w:numId w:val="14"/>
        </w:numPr>
      </w:pPr>
      <w:r>
        <w:rPr>
          <w:rFonts w:ascii="Arial" w:hAnsi="Arial" w:eastAsia="Arial"/>
          <w:color w:val="101827"/>
          <w:sz w:val="22"/>
        </w:rPr>
        <w:t>Оценить более ранние заявки и зарегистрированные знаки.</w:t>
      </w:r>
    </w:p>
    <w:p>
      <w:pPr>
        <w:pStyle w:val="GuideList"/>
        <w:keepNext/>
        <w:numPr>
          <w:ilvl w:val="0"/>
          <w:numId w:val="14"/>
        </w:numPr>
      </w:pPr>
      <w:r>
        <w:rPr>
          <w:rFonts w:ascii="Arial" w:hAnsi="Arial" w:eastAsia="Arial"/>
          <w:color w:val="101827"/>
          <w:sz w:val="22"/>
        </w:rPr>
        <w:t>Выбрать заявителя и стратегию регистрации.</w:t>
      </w:r>
    </w:p>
    <w:p>
      <w:pPr>
        <w:pStyle w:val="GuideList"/>
        <w:keepNext w:val="0"/>
        <w:numPr>
          <w:ilvl w:val="0"/>
          <w:numId w:val="14"/>
        </w:numPr>
      </w:pPr>
      <w:r>
        <w:rPr>
          <w:rFonts w:ascii="Arial" w:hAnsi="Arial" w:eastAsia="Arial"/>
          <w:color w:val="101827"/>
          <w:sz w:val="22"/>
        </w:rPr>
        <w:t>Подать заявку до масштабирования бренда.</w:t>
      </w:r>
    </w:p>
    <w:p>
      <w:pPr>
        <w:pStyle w:val="SolutionLabel"/>
      </w:pPr>
      <w:r>
        <w:rPr>
          <w:rFonts w:ascii="Arial" w:hAnsi="Arial" w:eastAsia="Arial"/>
          <w:b/>
          <w:color w:val="F25A00"/>
          <w:sz w:val="20"/>
        </w:rPr>
        <w:t>Решение «Патент 24»</w:t>
      </w:r>
    </w:p>
    <w:p>
      <w:pPr>
        <w:pStyle w:val="Heading2"/>
      </w:pPr>
      <w:r>
        <w:rPr>
          <w:rFonts w:ascii="Arial" w:hAnsi="Arial" w:eastAsia="Arial"/>
          <w:b/>
          <w:color w:val="173B75"/>
          <w:sz w:val="26"/>
        </w:rPr>
        <w:t>Проверьте, не конфликтует ли ваш бренд с чужими правами</w:t>
      </w:r>
    </w:p>
    <w:p>
      <w:pPr>
        <w:keepNext/>
      </w:pPr>
      <w:r>
        <w:rPr>
          <w:rFonts w:ascii="Arial" w:hAnsi="Arial" w:eastAsia="Arial"/>
          <w:color w:val="101827"/>
          <w:sz w:val="22"/>
        </w:rPr>
        <w:t>Проверим более ранние заявки и товарные знаки, которые могут помешать регистрации или стать основанием для претензии.</w:t>
      </w:r>
    </w:p>
    <w:p>
      <w:pPr>
        <w:pStyle w:val="CTA"/>
      </w:pPr>
      <w:hyperlink r:id="rId16">
        <w:r>
          <w:rPr>
            <w:rFonts w:ascii="Arial" w:hAnsi="Arial" w:eastAsia="Arial"/>
            <w:color w:val="F25A00"/>
            <w:u w:val="single"/>
            <w:sz w:val="22"/>
            <w:b/>
          </w:rPr>
          <w:t>ПРОВЕРИТЬ РИСК ЧУЖОГО ЗНАКА</w:t>
        </w:r>
      </w:hyperlink>
    </w:p>
    <w:p>
      <w:pPr>
        <w:pStyle w:val="Heading1"/>
      </w:pPr>
      <w:r>
        <w:t>Ошибка №2. «Точного совпадения нет — значит, название свободно»</w:t>
      </w:r>
    </w:p>
    <w:p>
      <w:pPr>
        <w:pStyle w:val="Heading2"/>
      </w:pPr>
      <w:r>
        <w:t>В чём риск</w:t>
      </w:r>
    </w:p>
    <w:p>
      <w:pPr/>
      <w:r>
        <w:rPr>
          <w:rFonts w:ascii="Arial" w:hAnsi="Arial" w:eastAsia="Arial"/>
          <w:color w:val="101827"/>
          <w:sz w:val="22"/>
        </w:rPr>
        <w:t>При регистрации оцениваются не только полностью одинаковые, но и сходные до степени смешения обозначения. Сходство может определяться по звучанию, написанию, смыслу, визуальному образу, доминирующим элементам и общему впечатлению. Также учитывается однородность товаров и услуг.</w:t>
      </w:r>
    </w:p>
    <w:p>
      <w:pPr>
        <w:pStyle w:val="Heading2"/>
      </w:pPr>
      <w:r>
        <w:t>Типовая ситуация</w:t>
      </w:r>
    </w:p>
    <w:p>
      <w:pPr/>
      <w:r>
        <w:rPr>
          <w:rFonts w:ascii="Arial" w:hAnsi="Arial" w:eastAsia="Arial"/>
          <w:color w:val="101827"/>
          <w:sz w:val="22"/>
        </w:rPr>
        <w:t>Поиск не показывает точной копии названия, но обнаруживается обозначение, похожее по звучанию или написанию и зарегистрированное для близких товаров или услуг.</w:t>
      </w:r>
    </w:p>
    <w:p>
      <w:pPr>
        <w:pStyle w:val="Heading2"/>
      </w:pPr>
      <w:r>
        <w:t>Что может потерять бизнес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уплаченные государственные пошлины;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расходы на разработку бренда;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время на экспертизу;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деньги на повторную подачу или изменение обозначения.</w:t>
      </w:r>
    </w:p>
    <w:p>
      <w:pPr>
        <w:pStyle w:val="Heading2"/>
      </w:pPr>
      <w:r>
        <w:t>Проверьте себя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Проверены разные варианты написания названия.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Учтена транслитерация.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Проверены похожие по звучанию слова.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Проанализирован смысл обозначений.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Сопоставлены товары и услуги.</w:t>
      </w:r>
    </w:p>
    <w:p>
      <w:pPr>
        <w:pStyle w:val="Heading2"/>
      </w:pPr>
      <w:r>
        <w:t>Что сделать</w:t>
      </w:r>
    </w:p>
    <w:p>
      <w:pPr>
        <w:pStyle w:val="GuideList"/>
        <w:keepNext/>
        <w:numPr>
          <w:ilvl w:val="0"/>
          <w:numId w:val="15"/>
        </w:numPr>
      </w:pPr>
      <w:r>
        <w:rPr>
          <w:rFonts w:ascii="Arial" w:hAnsi="Arial" w:eastAsia="Arial"/>
          <w:color w:val="101827"/>
          <w:sz w:val="22"/>
        </w:rPr>
        <w:t>Найти тождественные и сходные обозначения.</w:t>
      </w:r>
    </w:p>
    <w:p>
      <w:pPr>
        <w:pStyle w:val="GuideList"/>
        <w:keepNext/>
        <w:numPr>
          <w:ilvl w:val="0"/>
          <w:numId w:val="15"/>
        </w:numPr>
      </w:pPr>
      <w:r>
        <w:rPr>
          <w:rFonts w:ascii="Arial" w:hAnsi="Arial" w:eastAsia="Arial"/>
          <w:color w:val="101827"/>
          <w:sz w:val="22"/>
        </w:rPr>
        <w:t>Проверить их статус и дату приоритета.</w:t>
      </w:r>
    </w:p>
    <w:p>
      <w:pPr>
        <w:pStyle w:val="GuideList"/>
        <w:keepNext/>
        <w:numPr>
          <w:ilvl w:val="0"/>
          <w:numId w:val="15"/>
        </w:numPr>
      </w:pPr>
      <w:r>
        <w:rPr>
          <w:rFonts w:ascii="Arial" w:hAnsi="Arial" w:eastAsia="Arial"/>
          <w:color w:val="101827"/>
          <w:sz w:val="22"/>
        </w:rPr>
        <w:t>Сопоставить перечни товаров и услуг.</w:t>
      </w:r>
    </w:p>
    <w:p>
      <w:pPr>
        <w:pStyle w:val="GuideList"/>
        <w:keepNext w:val="0"/>
        <w:numPr>
          <w:ilvl w:val="0"/>
          <w:numId w:val="15"/>
        </w:numPr>
      </w:pPr>
      <w:r>
        <w:rPr>
          <w:rFonts w:ascii="Arial" w:hAnsi="Arial" w:eastAsia="Arial"/>
          <w:color w:val="101827"/>
          <w:sz w:val="22"/>
        </w:rPr>
        <w:t>Решить, можно ли подавать заявку или знак необходимо доработать.</w:t>
      </w:r>
    </w:p>
    <w:p>
      <w:pPr>
        <w:pStyle w:val="SolutionLabel"/>
      </w:pPr>
      <w:r>
        <w:rPr>
          <w:rFonts w:ascii="Arial" w:hAnsi="Arial" w:eastAsia="Arial"/>
          <w:b/>
          <w:color w:val="F25A00"/>
          <w:sz w:val="20"/>
        </w:rPr>
        <w:t>Решение «Патент 24»</w:t>
      </w:r>
    </w:p>
    <w:p>
      <w:pPr>
        <w:pStyle w:val="Heading2"/>
      </w:pPr>
      <w:r>
        <w:rPr>
          <w:rFonts w:ascii="Arial" w:hAnsi="Arial" w:eastAsia="Arial"/>
          <w:b/>
          <w:color w:val="173B75"/>
          <w:sz w:val="26"/>
        </w:rPr>
        <w:t>Проверьте не только совпадения, но и сходные обозначения</w:t>
      </w:r>
    </w:p>
    <w:p>
      <w:pPr>
        <w:keepNext/>
      </w:pPr>
      <w:r>
        <w:rPr>
          <w:rFonts w:ascii="Arial" w:hAnsi="Arial" w:eastAsia="Arial"/>
          <w:color w:val="101827"/>
          <w:sz w:val="22"/>
        </w:rPr>
        <w:t>Оценим сходство по звучанию, написанию, смыслу и общему впечатлению с учётом товаров и услуг.</w:t>
      </w:r>
    </w:p>
    <w:p>
      <w:pPr>
        <w:pStyle w:val="CTA"/>
      </w:pPr>
      <w:hyperlink r:id="rId17">
        <w:r>
          <w:rPr>
            <w:rFonts w:ascii="Arial" w:hAnsi="Arial" w:eastAsia="Arial"/>
            <w:color w:val="F25A00"/>
            <w:u w:val="single"/>
            <w:sz w:val="22"/>
            <w:b/>
          </w:rPr>
          <w:t>ПРОВЕРИТЬ СХОДНЫЕ ЗНАКИ</w:t>
        </w:r>
      </w:hyperlink>
    </w:p>
    <w:p>
      <w:pPr>
        <w:pStyle w:val="Heading1"/>
      </w:pPr>
      <w:r>
        <w:t>Ошибка №3. «Сначала запустимся, а зарегистрировать успеем потом»</w:t>
      </w:r>
    </w:p>
    <w:p>
      <w:pPr>
        <w:pStyle w:val="Heading2"/>
      </w:pPr>
      <w:r>
        <w:t>В чём риск</w:t>
      </w:r>
    </w:p>
    <w:p>
      <w:pPr/>
      <w:r>
        <w:rPr>
          <w:rFonts w:ascii="Arial" w:hAnsi="Arial" w:eastAsia="Arial"/>
          <w:color w:val="101827"/>
          <w:sz w:val="22"/>
        </w:rPr>
        <w:t>Проблема может обнаружиться уже после выпуска упаковки, запуска рекламы и появления узнаваемости. На этом этапе смена названия или логотипа становится значительно дороже.</w:t>
      </w:r>
    </w:p>
    <w:p>
      <w:pPr>
        <w:pStyle w:val="Heading2"/>
      </w:pPr>
      <w:r>
        <w:t>Типовая ситуация</w:t>
      </w:r>
    </w:p>
    <w:p>
      <w:pPr/>
      <w:r>
        <w:rPr>
          <w:rFonts w:ascii="Arial" w:hAnsi="Arial" w:eastAsia="Arial"/>
          <w:color w:val="101827"/>
          <w:sz w:val="22"/>
        </w:rPr>
        <w:t>Бизнес начинает продажи, выходит на маркетплейсы и вкладывается в продвижение. Проверку и подачу заявки откладывают до момента, когда менять бренд уже сложно.</w:t>
      </w:r>
    </w:p>
    <w:p>
      <w:pPr>
        <w:pStyle w:val="Heading2"/>
      </w:pPr>
      <w:r>
        <w:t>Что может потерять бизнес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изготовленный тираж упаковки;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вывески и рекламные материалы;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домен и страницы в социальных сетях;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карточки маркетплейсов;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вложения в рекламу и продвижение.</w:t>
      </w:r>
    </w:p>
    <w:p>
      <w:pPr>
        <w:pStyle w:val="Heading2"/>
      </w:pPr>
      <w:r>
        <w:t>Проверьте себя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Название проверено до заказа упаковки.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Логотип проверен до запуска рекламы.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Права на дизайн оформлены документально.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Определены классы МКТУ.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Заявка подаётся до масштабирования продаж.</w:t>
      </w:r>
    </w:p>
    <w:p>
      <w:pPr>
        <w:pStyle w:val="Heading2"/>
      </w:pPr>
      <w:r>
        <w:t>Что сделать</w:t>
      </w:r>
    </w:p>
    <w:p>
      <w:pPr>
        <w:pStyle w:val="GuideList"/>
        <w:keepNext/>
        <w:numPr>
          <w:ilvl w:val="0"/>
          <w:numId w:val="16"/>
        </w:numPr>
      </w:pPr>
      <w:r>
        <w:rPr>
          <w:rFonts w:ascii="Arial" w:hAnsi="Arial" w:eastAsia="Arial"/>
          <w:color w:val="101827"/>
          <w:sz w:val="22"/>
        </w:rPr>
        <w:t>Проверить выбранное название и логотип.</w:t>
      </w:r>
    </w:p>
    <w:p>
      <w:pPr>
        <w:pStyle w:val="GuideList"/>
        <w:keepNext/>
        <w:numPr>
          <w:ilvl w:val="0"/>
          <w:numId w:val="16"/>
        </w:numPr>
      </w:pPr>
      <w:r>
        <w:rPr>
          <w:rFonts w:ascii="Arial" w:hAnsi="Arial" w:eastAsia="Arial"/>
          <w:color w:val="101827"/>
          <w:sz w:val="22"/>
        </w:rPr>
        <w:t>Определить заявителя и перечень МКТУ.</w:t>
      </w:r>
    </w:p>
    <w:p>
      <w:pPr>
        <w:pStyle w:val="GuideList"/>
        <w:keepNext/>
        <w:numPr>
          <w:ilvl w:val="0"/>
          <w:numId w:val="16"/>
        </w:numPr>
      </w:pPr>
      <w:r>
        <w:rPr>
          <w:rFonts w:ascii="Arial" w:hAnsi="Arial" w:eastAsia="Arial"/>
          <w:color w:val="101827"/>
          <w:sz w:val="22"/>
        </w:rPr>
        <w:t>Оформить права на графику.</w:t>
      </w:r>
    </w:p>
    <w:p>
      <w:pPr>
        <w:pStyle w:val="GuideList"/>
        <w:keepNext w:val="0"/>
        <w:numPr>
          <w:ilvl w:val="0"/>
          <w:numId w:val="16"/>
        </w:numPr>
      </w:pPr>
      <w:r>
        <w:rPr>
          <w:rFonts w:ascii="Arial" w:hAnsi="Arial" w:eastAsia="Arial"/>
          <w:color w:val="101827"/>
          <w:sz w:val="22"/>
        </w:rPr>
        <w:t>Подать заявку до крупных вложений в продвижение.</w:t>
      </w:r>
    </w:p>
    <w:p>
      <w:pPr>
        <w:pStyle w:val="SolutionLabel"/>
      </w:pPr>
      <w:r>
        <w:rPr>
          <w:rFonts w:ascii="Arial" w:hAnsi="Arial" w:eastAsia="Arial"/>
          <w:b/>
          <w:color w:val="F25A00"/>
          <w:sz w:val="20"/>
        </w:rPr>
        <w:t>Решение «Патент 24»</w:t>
      </w:r>
    </w:p>
    <w:p>
      <w:pPr>
        <w:pStyle w:val="Heading2"/>
      </w:pPr>
      <w:r>
        <w:rPr>
          <w:rFonts w:ascii="Arial" w:hAnsi="Arial" w:eastAsia="Arial"/>
          <w:b/>
          <w:color w:val="173B75"/>
          <w:sz w:val="26"/>
        </w:rPr>
        <w:t>Оцените риски до вложений в рекламу и упаковку</w:t>
      </w:r>
    </w:p>
    <w:p>
      <w:pPr>
        <w:keepNext/>
      </w:pPr>
      <w:r>
        <w:rPr>
          <w:rFonts w:ascii="Arial" w:hAnsi="Arial" w:eastAsia="Arial"/>
          <w:color w:val="101827"/>
          <w:sz w:val="22"/>
        </w:rPr>
        <w:t>Проверим обозначение до масштабирования и подскажем, можно ли переходить к подаче заявки и запуску.</w:t>
      </w:r>
    </w:p>
    <w:p>
      <w:pPr>
        <w:pStyle w:val="CTA"/>
      </w:pPr>
      <w:hyperlink r:id="rId18">
        <w:r>
          <w:rPr>
            <w:rFonts w:ascii="Arial" w:hAnsi="Arial" w:eastAsia="Arial"/>
            <w:color w:val="F25A00"/>
            <w:u w:val="single"/>
            <w:sz w:val="22"/>
            <w:b/>
          </w:rPr>
          <w:t>ОЦЕНИТЬ РИСК ДО ЗАПУСКА</w:t>
        </w:r>
      </w:hyperlink>
    </w:p>
    <w:p>
      <w:pPr>
        <w:pStyle w:val="Heading1"/>
      </w:pPr>
      <w:r>
        <w:t>Ошибка №4. «Красивое название можно зарегистрировать в любом случае»</w:t>
      </w:r>
    </w:p>
    <w:p>
      <w:pPr>
        <w:pStyle w:val="Heading2"/>
      </w:pPr>
      <w:r>
        <w:t>В чём риск</w:t>
      </w:r>
    </w:p>
    <w:p>
      <w:pPr/>
      <w:r>
        <w:rPr>
          <w:rFonts w:ascii="Arial" w:hAnsi="Arial" w:eastAsia="Arial"/>
          <w:color w:val="101827"/>
          <w:sz w:val="22"/>
        </w:rPr>
        <w:t>Маркетинговая привлекательность названия не означает, что оно обладает необходимой различительной способностью. Препятствия могут возникнуть, если обозначение прямо описывает товар или услугу, является общепринятым термином, способно ввести потребителя в заблуждение или не позволяет отличить один бизнес от другого.</w:t>
      </w:r>
    </w:p>
    <w:p>
      <w:pPr>
        <w:pStyle w:val="Heading2"/>
      </w:pPr>
      <w:r>
        <w:t>Типовая ситуация</w:t>
      </w:r>
    </w:p>
    <w:p>
      <w:pPr/>
      <w:r>
        <w:rPr>
          <w:rFonts w:ascii="Arial" w:hAnsi="Arial" w:eastAsia="Arial"/>
          <w:color w:val="101827"/>
          <w:sz w:val="22"/>
        </w:rPr>
        <w:t>Название хорошо объясняет, чем занимается компания, но практически не отличается от названий конкурентов и прямо описывает товар или услугу.</w:t>
      </w:r>
    </w:p>
    <w:p>
      <w:pPr>
        <w:pStyle w:val="Heading2"/>
      </w:pPr>
      <w:r>
        <w:t>Что может потерять бизнес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время на рассмотрение заявки;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уплаченные пошлины;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ожидаемый объём правовой охраны;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возможность защищать слабые элементы обозначения.</w:t>
      </w:r>
    </w:p>
    <w:p>
      <w:pPr>
        <w:pStyle w:val="Heading2"/>
      </w:pPr>
      <w:r>
        <w:t>Проверьте себя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Название не является прямым описанием товара.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В обозначении есть оригинальная часть.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Название не вводит потребителя в заблуждение.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Проверены другие возможные основания для отказа.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Название оценено до утверждения фирменного стиля.</w:t>
      </w:r>
    </w:p>
    <w:p>
      <w:pPr>
        <w:pStyle w:val="Heading2"/>
      </w:pPr>
      <w:r>
        <w:t>Что сделать</w:t>
      </w:r>
    </w:p>
    <w:p>
      <w:pPr>
        <w:pStyle w:val="GuideList"/>
        <w:keepNext/>
        <w:numPr>
          <w:ilvl w:val="0"/>
          <w:numId w:val="17"/>
        </w:numPr>
      </w:pPr>
      <w:r>
        <w:rPr>
          <w:rFonts w:ascii="Arial" w:hAnsi="Arial" w:eastAsia="Arial"/>
          <w:color w:val="101827"/>
          <w:sz w:val="22"/>
        </w:rPr>
        <w:t>Оценить различительную способность названия.</w:t>
      </w:r>
    </w:p>
    <w:p>
      <w:pPr>
        <w:pStyle w:val="GuideList"/>
        <w:keepNext/>
        <w:numPr>
          <w:ilvl w:val="0"/>
          <w:numId w:val="17"/>
        </w:numPr>
      </w:pPr>
      <w:r>
        <w:rPr>
          <w:rFonts w:ascii="Arial" w:hAnsi="Arial" w:eastAsia="Arial"/>
          <w:color w:val="101827"/>
          <w:sz w:val="22"/>
        </w:rPr>
        <w:t>Определить слабые и неохраняемые элементы.</w:t>
      </w:r>
    </w:p>
    <w:p>
      <w:pPr>
        <w:pStyle w:val="GuideList"/>
        <w:keepNext/>
        <w:numPr>
          <w:ilvl w:val="0"/>
          <w:numId w:val="17"/>
        </w:numPr>
      </w:pPr>
      <w:r>
        <w:rPr>
          <w:rFonts w:ascii="Arial" w:hAnsi="Arial" w:eastAsia="Arial"/>
          <w:color w:val="101827"/>
          <w:sz w:val="22"/>
        </w:rPr>
        <w:t>При необходимости усилить оригинальную часть.</w:t>
      </w:r>
    </w:p>
    <w:p>
      <w:pPr>
        <w:pStyle w:val="GuideList"/>
        <w:keepNext w:val="0"/>
        <w:numPr>
          <w:ilvl w:val="0"/>
          <w:numId w:val="17"/>
        </w:numPr>
      </w:pPr>
      <w:r>
        <w:rPr>
          <w:rFonts w:ascii="Arial" w:hAnsi="Arial" w:eastAsia="Arial"/>
          <w:color w:val="101827"/>
          <w:sz w:val="22"/>
        </w:rPr>
        <w:t>Повторно проверить доработанный вариант.</w:t>
      </w:r>
    </w:p>
    <w:p>
      <w:r>
        <w:rPr>
          <w:rFonts w:ascii="Arial" w:hAnsi="Arial" w:eastAsia="Arial"/>
          <w:color w:val="5F6B7A"/>
          <w:sz w:val="21"/>
        </w:rPr>
        <w:t xml:space="preserve">Подробнее: </w:t>
      </w:r>
      <w:hyperlink r:id="rId19">
        <w:r>
          <w:rPr>
            <w:rFonts w:ascii="Arial" w:hAnsi="Arial" w:eastAsia="Arial"/>
            <w:color w:val="2B66A5"/>
            <w:u w:val="single"/>
            <w:sz w:val="21"/>
          </w:rPr>
          <w:t>статья 1483 ГК РФ</w:t>
        </w:r>
      </w:hyperlink>
    </w:p>
    <w:p>
      <w:pPr>
        <w:pStyle w:val="SolutionLabel"/>
      </w:pPr>
      <w:r>
        <w:rPr>
          <w:rFonts w:ascii="Arial" w:hAnsi="Arial" w:eastAsia="Arial"/>
          <w:b/>
          <w:color w:val="F25A00"/>
          <w:sz w:val="20"/>
        </w:rPr>
        <w:t>Решение «Патент 24»</w:t>
      </w:r>
    </w:p>
    <w:p>
      <w:pPr>
        <w:pStyle w:val="Heading2"/>
      </w:pPr>
      <w:r>
        <w:rPr>
          <w:rFonts w:ascii="Arial" w:hAnsi="Arial" w:eastAsia="Arial"/>
          <w:b/>
          <w:color w:val="173B75"/>
          <w:sz w:val="26"/>
        </w:rPr>
        <w:t>Узнайте, подлежит ли название правовой охране</w:t>
      </w:r>
    </w:p>
    <w:p>
      <w:pPr>
        <w:keepNext/>
      </w:pPr>
      <w:r>
        <w:rPr>
          <w:rFonts w:ascii="Arial" w:hAnsi="Arial" w:eastAsia="Arial"/>
          <w:color w:val="101827"/>
          <w:sz w:val="22"/>
        </w:rPr>
        <w:t>Предварительно оценим различительную способность, описательность и другие возможные основания для отказа.</w:t>
      </w:r>
    </w:p>
    <w:p>
      <w:pPr>
        <w:pStyle w:val="CTA"/>
      </w:pPr>
      <w:hyperlink r:id="rId20">
        <w:r>
          <w:rPr>
            <w:rFonts w:ascii="Arial" w:hAnsi="Arial" w:eastAsia="Arial"/>
            <w:color w:val="F25A00"/>
            <w:u w:val="single"/>
            <w:sz w:val="22"/>
            <w:b/>
          </w:rPr>
          <w:t>ПРОВЕРИТЬ, МОЖНО ЛИ ЗАРЕГИСТРИРОВАТЬ НАЗВАНИЕ</w:t>
        </w:r>
      </w:hyperlink>
    </w:p>
    <w:p>
      <w:pPr>
        <w:pStyle w:val="Heading1"/>
      </w:pPr>
      <w:r>
        <w:t>Ошибка №5. «Мы заплатили дизайнеру — значит, логотип принадлежит нам»</w:t>
      </w:r>
    </w:p>
    <w:p>
      <w:pPr>
        <w:pStyle w:val="Heading2"/>
      </w:pPr>
      <w:r>
        <w:t>В чём риск</w:t>
      </w:r>
    </w:p>
    <w:p>
      <w:pPr/>
      <w:r>
        <w:rPr>
          <w:rFonts w:ascii="Arial" w:hAnsi="Arial" w:eastAsia="Arial"/>
          <w:color w:val="101827"/>
          <w:sz w:val="22"/>
        </w:rPr>
        <w:t>Оплата работы дизайнера сама по себе не всегда подтверждает передачу заказчику исключительного права. Значение имеют договор, техническое задание, акт, условия передачи прав и используемые в макете сторонние материалы.</w:t>
      </w:r>
    </w:p>
    <w:p>
      <w:pPr>
        <w:pStyle w:val="Heading2"/>
      </w:pPr>
      <w:r>
        <w:t>Типовая ситуация</w:t>
      </w:r>
    </w:p>
    <w:p>
      <w:pPr/>
      <w:r>
        <w:rPr>
          <w:rFonts w:ascii="Arial" w:hAnsi="Arial" w:eastAsia="Arial"/>
          <w:color w:val="101827"/>
          <w:sz w:val="22"/>
        </w:rPr>
        <w:t>Логотип согласовали в мессенджере, оплатили и получили файлы. При этом документы не определяют результат работы, объём передаваемых прав и право заказчика изменять или регистрировать логотип.</w:t>
      </w:r>
    </w:p>
    <w:p>
      <w:pPr>
        <w:pStyle w:val="Heading2"/>
      </w:pPr>
      <w:r>
        <w:t>Что может потерять бизнес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свободу использования и изменения логотипа;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возможность зарегистрировать его как товарный знак;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готовность актива к продаже или инвестиционной проверке;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деньги на повторную разработку дизайна.</w:t>
      </w:r>
    </w:p>
    <w:p>
      <w:pPr>
        <w:pStyle w:val="Heading2"/>
      </w:pPr>
      <w:r>
        <w:t>Проверьте себя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Заключён письменный договор.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В договоре описан создаваемый результат.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Предусмотрена передача исключительного права.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Учтено вознаграждение за передачу права.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Подписан акт и получены исходные файлы.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Проверены лицензии на шрифты, фотографии и графику.</w:t>
      </w:r>
    </w:p>
    <w:p>
      <w:pPr>
        <w:pStyle w:val="Heading2"/>
      </w:pPr>
      <w:r>
        <w:t>Что сделать</w:t>
      </w:r>
    </w:p>
    <w:p>
      <w:pPr>
        <w:pStyle w:val="GuideList"/>
        <w:keepNext/>
        <w:numPr>
          <w:ilvl w:val="0"/>
          <w:numId w:val="18"/>
        </w:numPr>
      </w:pPr>
      <w:r>
        <w:rPr>
          <w:rFonts w:ascii="Arial" w:hAnsi="Arial" w:eastAsia="Arial"/>
          <w:color w:val="101827"/>
          <w:sz w:val="22"/>
        </w:rPr>
        <w:t>Собрать договор, ТЗ, акт и подтверждение оплаты.</w:t>
      </w:r>
    </w:p>
    <w:p>
      <w:pPr>
        <w:pStyle w:val="GuideList"/>
        <w:keepNext/>
        <w:numPr>
          <w:ilvl w:val="0"/>
          <w:numId w:val="18"/>
        </w:numPr>
      </w:pPr>
      <w:r>
        <w:rPr>
          <w:rFonts w:ascii="Arial" w:hAnsi="Arial" w:eastAsia="Arial"/>
          <w:color w:val="101827"/>
          <w:sz w:val="22"/>
        </w:rPr>
        <w:t>Проверить условия о передаче исключительного права.</w:t>
      </w:r>
    </w:p>
    <w:p>
      <w:pPr>
        <w:pStyle w:val="GuideList"/>
        <w:keepNext/>
        <w:numPr>
          <w:ilvl w:val="0"/>
          <w:numId w:val="18"/>
        </w:numPr>
      </w:pPr>
      <w:r>
        <w:rPr>
          <w:rFonts w:ascii="Arial" w:hAnsi="Arial" w:eastAsia="Arial"/>
          <w:color w:val="101827"/>
          <w:sz w:val="22"/>
        </w:rPr>
        <w:t>Уточнить происхождение всех элементов логотипа.</w:t>
      </w:r>
    </w:p>
    <w:p>
      <w:pPr>
        <w:pStyle w:val="GuideList"/>
        <w:keepNext w:val="0"/>
        <w:numPr>
          <w:ilvl w:val="0"/>
          <w:numId w:val="18"/>
        </w:numPr>
      </w:pPr>
      <w:r>
        <w:rPr>
          <w:rFonts w:ascii="Arial" w:hAnsi="Arial" w:eastAsia="Arial"/>
          <w:color w:val="101827"/>
          <w:sz w:val="22"/>
        </w:rPr>
        <w:t>При необходимости оформить недостающие документы.</w:t>
      </w:r>
    </w:p>
    <w:p>
      <w:pPr>
        <w:pStyle w:val="SolutionLabel"/>
      </w:pPr>
      <w:r>
        <w:rPr>
          <w:rFonts w:ascii="Arial" w:hAnsi="Arial" w:eastAsia="Arial"/>
          <w:b/>
          <w:color w:val="F25A00"/>
          <w:sz w:val="20"/>
        </w:rPr>
        <w:t>Решение «Патент 24»</w:t>
      </w:r>
    </w:p>
    <w:p>
      <w:pPr>
        <w:pStyle w:val="Heading2"/>
      </w:pPr>
      <w:r>
        <w:rPr>
          <w:rFonts w:ascii="Arial" w:hAnsi="Arial" w:eastAsia="Arial"/>
          <w:b/>
          <w:color w:val="173B75"/>
          <w:sz w:val="26"/>
        </w:rPr>
        <w:t>Проверьте, кому принадлежат права на логотип</w:t>
      </w:r>
    </w:p>
    <w:p>
      <w:pPr>
        <w:keepNext/>
      </w:pPr>
      <w:r>
        <w:rPr>
          <w:rFonts w:ascii="Arial" w:hAnsi="Arial" w:eastAsia="Arial"/>
          <w:color w:val="101827"/>
          <w:sz w:val="22"/>
        </w:rPr>
        <w:t>Оценим договор, техническое задание, акт и условия передачи исключительного права на логотип.</w:t>
      </w:r>
    </w:p>
    <w:p>
      <w:pPr>
        <w:pStyle w:val="CTA"/>
      </w:pPr>
      <w:hyperlink r:id="rId21">
        <w:r>
          <w:rPr>
            <w:rFonts w:ascii="Arial" w:hAnsi="Arial" w:eastAsia="Arial"/>
            <w:color w:val="F25A00"/>
            <w:u w:val="single"/>
            <w:sz w:val="22"/>
            <w:b/>
          </w:rPr>
          <w:t>ПРОВЕРИТЬ ПРАВА НА ЛОГОТИП</w:t>
        </w:r>
      </w:hyperlink>
    </w:p>
    <w:p>
      <w:pPr>
        <w:pStyle w:val="Heading1"/>
      </w:pPr>
      <w:r>
        <w:t>Ошибка №6. «Подадим заявку на того, на кого удобнее»</w:t>
      </w:r>
    </w:p>
    <w:p>
      <w:pPr>
        <w:pStyle w:val="Heading2"/>
      </w:pPr>
      <w:r>
        <w:t>В чём риск</w:t>
      </w:r>
    </w:p>
    <w:p>
      <w:pPr/>
      <w:r>
        <w:rPr>
          <w:rFonts w:ascii="Arial" w:hAnsi="Arial" w:eastAsia="Arial"/>
          <w:color w:val="101827"/>
          <w:sz w:val="22"/>
        </w:rPr>
        <w:t>Лицо, указанное заявителем, после регистрации становится правообладателем товарного знака. Необоснованный выбор может создать проблемы при конфликте партнёров, привлечении инвестиций, продаже бизнеса, запуске франшизы или заключении лицензионных договоров.</w:t>
      </w:r>
    </w:p>
    <w:p>
      <w:pPr>
        <w:pStyle w:val="Heading2"/>
      </w:pPr>
      <w:r>
        <w:t>Типовая ситуация</w:t>
      </w:r>
    </w:p>
    <w:p>
      <w:pPr/>
      <w:r>
        <w:rPr>
          <w:rFonts w:ascii="Arial" w:hAnsi="Arial" w:eastAsia="Arial"/>
          <w:color w:val="101827"/>
          <w:sz w:val="22"/>
        </w:rPr>
        <w:t>Бренд использует компания, но заявку подают на учредителя, директора или другое лицо. Порядок использования знака компанией документально не определён.</w:t>
      </w:r>
    </w:p>
    <w:p>
      <w:pPr>
        <w:pStyle w:val="Heading2"/>
      </w:pPr>
      <w:r>
        <w:t>Что может потерять бизнес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контроль над ключевым активом;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возможность свободно распоряжаться брендом;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готовность к продаже или инвестиционной проверке;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возможность заключать лицензионные и франчайзинговые сделки.</w:t>
      </w:r>
    </w:p>
    <w:p>
      <w:pPr>
        <w:pStyle w:val="Heading2"/>
      </w:pPr>
      <w:r>
        <w:t>Проверьте себя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Определено, кто фактически использует бренд.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Учтены отношения между учредителями и компаниями.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Продуманы инвестиции, франшиза и лицензирование.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Понятно, кто будет получать доход от использования знака.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Использование знака другими лицами будет оформлено документально.</w:t>
      </w:r>
    </w:p>
    <w:p>
      <w:pPr>
        <w:pStyle w:val="Heading2"/>
      </w:pPr>
      <w:r>
        <w:t>Что сделать</w:t>
      </w:r>
    </w:p>
    <w:p>
      <w:pPr>
        <w:pStyle w:val="GuideList"/>
        <w:keepNext/>
        <w:numPr>
          <w:ilvl w:val="0"/>
          <w:numId w:val="19"/>
        </w:numPr>
      </w:pPr>
      <w:r>
        <w:rPr>
          <w:rFonts w:ascii="Arial" w:hAnsi="Arial" w:eastAsia="Arial"/>
          <w:color w:val="101827"/>
          <w:sz w:val="22"/>
        </w:rPr>
        <w:t>Сопоставить правообладателя с бизнес-моделью.</w:t>
      </w:r>
    </w:p>
    <w:p>
      <w:pPr>
        <w:pStyle w:val="GuideList"/>
        <w:keepNext/>
        <w:numPr>
          <w:ilvl w:val="0"/>
          <w:numId w:val="19"/>
        </w:numPr>
      </w:pPr>
      <w:r>
        <w:rPr>
          <w:rFonts w:ascii="Arial" w:hAnsi="Arial" w:eastAsia="Arial"/>
          <w:color w:val="101827"/>
          <w:sz w:val="22"/>
        </w:rPr>
        <w:t>Учесть планы развития и будущие сделки.</w:t>
      </w:r>
    </w:p>
    <w:p>
      <w:pPr>
        <w:pStyle w:val="GuideList"/>
        <w:keepNext/>
        <w:numPr>
          <w:ilvl w:val="0"/>
          <w:numId w:val="19"/>
        </w:numPr>
      </w:pPr>
      <w:r>
        <w:rPr>
          <w:rFonts w:ascii="Arial" w:hAnsi="Arial" w:eastAsia="Arial"/>
          <w:color w:val="101827"/>
          <w:sz w:val="22"/>
        </w:rPr>
        <w:t>Выбрать обоснованного заявителя.</w:t>
      </w:r>
    </w:p>
    <w:p>
      <w:pPr>
        <w:pStyle w:val="GuideList"/>
        <w:keepNext w:val="0"/>
        <w:numPr>
          <w:ilvl w:val="0"/>
          <w:numId w:val="19"/>
        </w:numPr>
      </w:pPr>
      <w:r>
        <w:rPr>
          <w:rFonts w:ascii="Arial" w:hAnsi="Arial" w:eastAsia="Arial"/>
          <w:color w:val="101827"/>
          <w:sz w:val="22"/>
        </w:rPr>
        <w:t>Оформить порядок использования бренда другими лицами.</w:t>
      </w:r>
    </w:p>
    <w:p>
      <w:pPr>
        <w:pStyle w:val="SolutionLabel"/>
      </w:pPr>
      <w:r>
        <w:rPr>
          <w:rFonts w:ascii="Arial" w:hAnsi="Arial" w:eastAsia="Arial"/>
          <w:b/>
          <w:color w:val="F25A00"/>
          <w:sz w:val="20"/>
        </w:rPr>
        <w:t>Решение «Патент 24»</w:t>
      </w:r>
    </w:p>
    <w:p>
      <w:pPr>
        <w:pStyle w:val="Heading2"/>
      </w:pPr>
      <w:r>
        <w:rPr>
          <w:rFonts w:ascii="Arial" w:hAnsi="Arial" w:eastAsia="Arial"/>
          <w:b/>
          <w:color w:val="173B75"/>
          <w:sz w:val="26"/>
        </w:rPr>
        <w:t>Выберите правообладателя с учётом структуры бизнеса</w:t>
      </w:r>
    </w:p>
    <w:p>
      <w:pPr>
        <w:keepNext/>
      </w:pPr>
      <w:r>
        <w:rPr>
          <w:rFonts w:ascii="Arial" w:hAnsi="Arial" w:eastAsia="Arial"/>
          <w:color w:val="101827"/>
          <w:sz w:val="22"/>
        </w:rPr>
        <w:t>Поможем выбрать заявителя с учётом структуры бизнеса, партнёров, инвесторов, лицензирования и франшизы.</w:t>
      </w:r>
    </w:p>
    <w:p>
      <w:pPr>
        <w:pStyle w:val="CTA"/>
      </w:pPr>
      <w:hyperlink r:id="rId22">
        <w:r>
          <w:rPr>
            <w:rFonts w:ascii="Arial" w:hAnsi="Arial" w:eastAsia="Arial"/>
            <w:color w:val="F25A00"/>
            <w:u w:val="single"/>
            <w:sz w:val="22"/>
            <w:b/>
          </w:rPr>
          <w:t>ВЫБРАТЬ ПРАВООБЛАДАТЕЛЯ</w:t>
        </w:r>
      </w:hyperlink>
    </w:p>
    <w:p>
      <w:pPr>
        <w:pStyle w:val="Heading1"/>
      </w:pPr>
      <w:r>
        <w:t>Ошибка №7. «Для выбора МКТУ достаточно посмотреть ОКВЭД»</w:t>
      </w:r>
    </w:p>
    <w:p>
      <w:pPr>
        <w:pStyle w:val="Heading2"/>
      </w:pPr>
      <w:r>
        <w:t>В чём риск</w:t>
      </w:r>
    </w:p>
    <w:p>
      <w:pPr/>
      <w:r>
        <w:rPr>
          <w:rFonts w:ascii="Arial" w:hAnsi="Arial" w:eastAsia="Arial"/>
          <w:color w:val="101827"/>
          <w:sz w:val="22"/>
        </w:rPr>
        <w:t>ОКВЭД описывает виды экономической деятельности, а МКТУ определяет товары и услуги, для которых запрашивается правовая охрана товарного знака. Простая подстановка кода ОКВЭД не позволяет сформировать корректный объём защиты. Слишком узкий перечень может оставить важные направления без охраны, а необоснованно широкий — увеличить расходы и количество потенциальных препятствий.</w:t>
      </w:r>
    </w:p>
    <w:p>
      <w:pPr>
        <w:pStyle w:val="Heading2"/>
      </w:pPr>
      <w:r>
        <w:t>Типовая ситуация</w:t>
      </w:r>
    </w:p>
    <w:p>
      <w:pPr/>
      <w:r>
        <w:rPr>
          <w:rFonts w:ascii="Arial" w:hAnsi="Arial" w:eastAsia="Arial"/>
          <w:color w:val="101827"/>
          <w:sz w:val="22"/>
        </w:rPr>
        <w:t>В заявку включают только номер класса без проработанного перечня либо копируют весь класс, не сопоставляя его с реальной бизнес-моделью.</w:t>
      </w:r>
    </w:p>
    <w:p>
      <w:pPr>
        <w:pStyle w:val="Heading2"/>
      </w:pPr>
      <w:r>
        <w:t>Что может потерять бизнес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защиту важных товаров и услуг;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деньги на подачу дополнительных заявок;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время из-за лишних препятствий;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возможность развивать новые направления под тем же брендом.</w:t>
      </w:r>
    </w:p>
    <w:p>
      <w:pPr>
        <w:pStyle w:val="Heading2"/>
      </w:pPr>
      <w:r>
        <w:t>Проверьте себя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Описаны все текущие товары и услуги.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Учтены реальные планы расширения.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Определены каналы продаж и модель использования бренда.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Выбраны подходящие классы МКТУ.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Подготовлен точный перечень внутри каждого класса.</w:t>
      </w:r>
    </w:p>
    <w:p>
      <w:pPr>
        <w:pStyle w:val="Heading2"/>
      </w:pPr>
      <w:r>
        <w:t>Что сделать</w:t>
      </w:r>
    </w:p>
    <w:p>
      <w:pPr>
        <w:pStyle w:val="GuideList"/>
        <w:keepNext/>
        <w:numPr>
          <w:ilvl w:val="0"/>
          <w:numId w:val="20"/>
        </w:numPr>
      </w:pPr>
      <w:r>
        <w:rPr>
          <w:rFonts w:ascii="Arial" w:hAnsi="Arial" w:eastAsia="Arial"/>
          <w:color w:val="101827"/>
          <w:sz w:val="22"/>
        </w:rPr>
        <w:t>Описать бизнес-модель простыми словами.</w:t>
      </w:r>
    </w:p>
    <w:p>
      <w:pPr>
        <w:pStyle w:val="GuideList"/>
        <w:keepNext/>
        <w:numPr>
          <w:ilvl w:val="0"/>
          <w:numId w:val="20"/>
        </w:numPr>
      </w:pPr>
      <w:r>
        <w:rPr>
          <w:rFonts w:ascii="Arial" w:hAnsi="Arial" w:eastAsia="Arial"/>
          <w:color w:val="101827"/>
          <w:sz w:val="22"/>
        </w:rPr>
        <w:t>Составить список товаров и услуг.</w:t>
      </w:r>
    </w:p>
    <w:p>
      <w:pPr>
        <w:pStyle w:val="GuideList"/>
        <w:keepNext/>
        <w:numPr>
          <w:ilvl w:val="0"/>
          <w:numId w:val="20"/>
        </w:numPr>
      </w:pPr>
      <w:r>
        <w:rPr>
          <w:rFonts w:ascii="Arial" w:hAnsi="Arial" w:eastAsia="Arial"/>
          <w:color w:val="101827"/>
          <w:sz w:val="22"/>
        </w:rPr>
        <w:t>Соотнести их с актуальной редакцией МКТУ.</w:t>
      </w:r>
    </w:p>
    <w:p>
      <w:pPr>
        <w:pStyle w:val="GuideList"/>
        <w:keepNext w:val="0"/>
        <w:numPr>
          <w:ilvl w:val="0"/>
          <w:numId w:val="20"/>
        </w:numPr>
      </w:pPr>
      <w:r>
        <w:rPr>
          <w:rFonts w:ascii="Arial" w:hAnsi="Arial" w:eastAsia="Arial"/>
          <w:color w:val="101827"/>
          <w:sz w:val="22"/>
        </w:rPr>
        <w:t>Согласовать точный перечень до подачи заявки.</w:t>
      </w:r>
    </w:p>
    <w:p>
      <w:r>
        <w:rPr>
          <w:rFonts w:ascii="Arial" w:hAnsi="Arial" w:eastAsia="Arial"/>
          <w:color w:val="5F6B7A"/>
          <w:sz w:val="21"/>
        </w:rPr>
        <w:t xml:space="preserve">Актуальная информация о Ниццкой классификации: </w:t>
      </w:r>
      <w:hyperlink r:id="rId23">
        <w:r>
          <w:rPr>
            <w:rFonts w:ascii="Arial" w:hAnsi="Arial" w:eastAsia="Arial"/>
            <w:color w:val="2B66A5"/>
            <w:u w:val="single"/>
            <w:sz w:val="21"/>
          </w:rPr>
          <w:t>сайт ВОИС</w:t>
        </w:r>
      </w:hyperlink>
    </w:p>
    <w:p>
      <w:pPr>
        <w:pStyle w:val="SolutionLabel"/>
      </w:pPr>
      <w:r>
        <w:rPr>
          <w:rFonts w:ascii="Arial" w:hAnsi="Arial" w:eastAsia="Arial"/>
          <w:b/>
          <w:color w:val="F25A00"/>
          <w:sz w:val="20"/>
        </w:rPr>
        <w:t>Решение «Патент 24»</w:t>
      </w:r>
    </w:p>
    <w:p>
      <w:pPr>
        <w:pStyle w:val="Heading2"/>
      </w:pPr>
      <w:r>
        <w:rPr>
          <w:rFonts w:ascii="Arial" w:hAnsi="Arial" w:eastAsia="Arial"/>
          <w:b/>
          <w:color w:val="173B75"/>
          <w:sz w:val="26"/>
        </w:rPr>
        <w:t>Подберите классы МКТУ под товары, услуги и планы развития</w:t>
      </w:r>
    </w:p>
    <w:p>
      <w:pPr>
        <w:keepNext/>
      </w:pPr>
      <w:r>
        <w:rPr>
          <w:rFonts w:ascii="Arial" w:hAnsi="Arial" w:eastAsia="Arial"/>
          <w:color w:val="101827"/>
          <w:sz w:val="22"/>
        </w:rPr>
        <w:t>Поможем определить подходящие классы и подготовить предварительный перечень товаров и услуг.</w:t>
      </w:r>
    </w:p>
    <w:p>
      <w:pPr>
        <w:pStyle w:val="CTA"/>
      </w:pPr>
      <w:hyperlink r:id="rId24">
        <w:r>
          <w:rPr>
            <w:rFonts w:ascii="Arial" w:hAnsi="Arial" w:eastAsia="Arial"/>
            <w:color w:val="F25A00"/>
            <w:u w:val="single"/>
            <w:sz w:val="22"/>
            <w:b/>
          </w:rPr>
          <w:t>ПОДОБРАТЬ КЛАССЫ МКТУ БЕСПЛАТНО</w:t>
        </w:r>
      </w:hyperlink>
    </w:p>
    <w:p>
      <w:pPr>
        <w:pStyle w:val="Heading1"/>
      </w:pPr>
      <w:r>
        <w:t>Ошибка №8. «Одного товарного знака на логотип достаточно для защиты всего бренда»</w:t>
      </w:r>
    </w:p>
    <w:p>
      <w:pPr>
        <w:pStyle w:val="Heading2"/>
      </w:pPr>
      <w:r>
        <w:t>В чём риск</w:t>
      </w:r>
    </w:p>
    <w:p>
      <w:pPr/>
      <w:r>
        <w:rPr>
          <w:rFonts w:ascii="Arial" w:hAnsi="Arial" w:eastAsia="Arial"/>
          <w:color w:val="101827"/>
          <w:sz w:val="22"/>
        </w:rPr>
        <w:t>Название, графика и их сочетание могут быть самостоятельными элементами стратегии защиты. Регистрация комбинированного знака не всегда даёт тот объём охраны, который бизнес ожидает получить отдельно для названия или графического элемента.</w:t>
      </w:r>
    </w:p>
    <w:p>
      <w:pPr>
        <w:pStyle w:val="Heading2"/>
      </w:pPr>
      <w:r>
        <w:t>Типовая ситуация</w:t>
      </w:r>
    </w:p>
    <w:p>
      <w:pPr/>
      <w:r>
        <w:rPr>
          <w:rFonts w:ascii="Arial" w:hAnsi="Arial" w:eastAsia="Arial"/>
          <w:color w:val="101827"/>
          <w:sz w:val="22"/>
        </w:rPr>
        <w:t>Компания регистрирует название вместе с логотипом, но в рекламе, приложении, домене и на упаковке название и графика используются раздельно. После редизайна первоначальная композиция перестаёт использоваться.</w:t>
      </w:r>
    </w:p>
    <w:p>
      <w:pPr>
        <w:pStyle w:val="Heading2"/>
      </w:pPr>
      <w:r>
        <w:t>Что может потерять бизнес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гибкость при изменении дизайна;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более сильную позицию при копировании названия;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отдельную защиту графического элемента;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соответствие регистрации фактическому использованию бренда.</w:t>
      </w:r>
    </w:p>
    <w:p>
      <w:pPr>
        <w:pStyle w:val="Heading2"/>
      </w:pPr>
      <w:r>
        <w:t>Проверьте себя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Определено, что узнаёт покупатель: название, графику или сочетание.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Понятно, используются ли элементы раздельно.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Учтён возможный редизайн.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Сравнены словесный, изобразительный и комбинированный варианты.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Стратегия регистрации соответствует бюджету.</w:t>
      </w:r>
    </w:p>
    <w:p>
      <w:pPr>
        <w:pStyle w:val="Heading2"/>
      </w:pPr>
      <w:r>
        <w:t>Что сделать</w:t>
      </w:r>
    </w:p>
    <w:p>
      <w:pPr>
        <w:pStyle w:val="GuideList"/>
        <w:keepNext/>
        <w:numPr>
          <w:ilvl w:val="0"/>
          <w:numId w:val="21"/>
        </w:numPr>
      </w:pPr>
      <w:r>
        <w:rPr>
          <w:rFonts w:ascii="Arial" w:hAnsi="Arial" w:eastAsia="Arial"/>
          <w:color w:val="101827"/>
          <w:sz w:val="22"/>
        </w:rPr>
        <w:t>Выделить словесный и графический элементы.</w:t>
      </w:r>
    </w:p>
    <w:p>
      <w:pPr>
        <w:pStyle w:val="GuideList"/>
        <w:keepNext/>
        <w:numPr>
          <w:ilvl w:val="0"/>
          <w:numId w:val="21"/>
        </w:numPr>
      </w:pPr>
      <w:r>
        <w:rPr>
          <w:rFonts w:ascii="Arial" w:hAnsi="Arial" w:eastAsia="Arial"/>
          <w:color w:val="101827"/>
          <w:sz w:val="22"/>
        </w:rPr>
        <w:t>Проанализировать фактическое использование бренда.</w:t>
      </w:r>
    </w:p>
    <w:p>
      <w:pPr>
        <w:pStyle w:val="GuideList"/>
        <w:keepNext/>
        <w:numPr>
          <w:ilvl w:val="0"/>
          <w:numId w:val="21"/>
        </w:numPr>
      </w:pPr>
      <w:r>
        <w:rPr>
          <w:rFonts w:ascii="Arial" w:hAnsi="Arial" w:eastAsia="Arial"/>
          <w:color w:val="101827"/>
          <w:sz w:val="22"/>
        </w:rPr>
        <w:t>Сравнить варианты регистрации.</w:t>
      </w:r>
    </w:p>
    <w:p>
      <w:pPr>
        <w:pStyle w:val="GuideList"/>
        <w:keepNext w:val="0"/>
        <w:numPr>
          <w:ilvl w:val="0"/>
          <w:numId w:val="21"/>
        </w:numPr>
      </w:pPr>
      <w:r>
        <w:rPr>
          <w:rFonts w:ascii="Arial" w:hAnsi="Arial" w:eastAsia="Arial"/>
          <w:color w:val="101827"/>
          <w:sz w:val="22"/>
        </w:rPr>
        <w:t>Определить приоритетность заявок.</w:t>
      </w:r>
    </w:p>
    <w:p>
      <w:pPr>
        <w:pStyle w:val="SolutionLabel"/>
      </w:pPr>
      <w:r>
        <w:rPr>
          <w:rFonts w:ascii="Arial" w:hAnsi="Arial" w:eastAsia="Arial"/>
          <w:b/>
          <w:color w:val="F25A00"/>
          <w:sz w:val="20"/>
        </w:rPr>
        <w:t>Решение «Патент 24»</w:t>
      </w:r>
    </w:p>
    <w:p>
      <w:pPr>
        <w:pStyle w:val="Heading2"/>
      </w:pPr>
      <w:r>
        <w:rPr>
          <w:rFonts w:ascii="Arial" w:hAnsi="Arial" w:eastAsia="Arial"/>
          <w:b/>
          <w:color w:val="173B75"/>
          <w:sz w:val="26"/>
        </w:rPr>
        <w:t>Определите, что именно нужно регистрировать</w:t>
      </w:r>
    </w:p>
    <w:p>
      <w:pPr>
        <w:keepNext/>
      </w:pPr>
      <w:r>
        <w:rPr>
          <w:rFonts w:ascii="Arial" w:hAnsi="Arial" w:eastAsia="Arial"/>
          <w:color w:val="101827"/>
          <w:sz w:val="22"/>
        </w:rPr>
        <w:t>Сравним словесный, изобразительный и комбинированный варианты с учётом реального использования бренда.</w:t>
      </w:r>
    </w:p>
    <w:p>
      <w:pPr>
        <w:pStyle w:val="CTA"/>
      </w:pPr>
      <w:hyperlink r:id="rId25">
        <w:r>
          <w:rPr>
            <w:rFonts w:ascii="Arial" w:hAnsi="Arial" w:eastAsia="Arial"/>
            <w:color w:val="F25A00"/>
            <w:u w:val="single"/>
            <w:sz w:val="22"/>
            <w:b/>
          </w:rPr>
          <w:t>ОПРЕДЕЛИТЬ, ЧТО РЕГИСТРИРОВАТЬ</w:t>
        </w:r>
      </w:hyperlink>
    </w:p>
    <w:p>
      <w:pPr>
        <w:pStyle w:val="Heading1"/>
      </w:pPr>
      <w:r>
        <w:t>Ошибка №9. «После подачи заявки остаётся только ждать»</w:t>
      </w:r>
    </w:p>
    <w:p>
      <w:pPr>
        <w:pStyle w:val="Heading2"/>
      </w:pPr>
      <w:r>
        <w:t>В чём риск</w:t>
      </w:r>
    </w:p>
    <w:p>
      <w:pPr/>
      <w:r>
        <w:rPr>
          <w:rFonts w:ascii="Arial" w:hAnsi="Arial" w:eastAsia="Arial"/>
          <w:color w:val="101827"/>
          <w:sz w:val="22"/>
        </w:rPr>
        <w:t>После подачи необходимо контролировать статус заявки, корреспонденцию Роспатента, запросы и уведомления, сроки подготовки ответов, государственные пошлины и актуальность контактных данных. Пропущенное сообщение может лишить заявителя возможности вовремя представить документы или аргументы.</w:t>
      </w:r>
    </w:p>
    <w:p>
      <w:pPr>
        <w:pStyle w:val="Heading2"/>
      </w:pPr>
      <w:r>
        <w:t>Типовая ситуация</w:t>
      </w:r>
    </w:p>
    <w:p>
      <w:pPr/>
      <w:r>
        <w:rPr>
          <w:rFonts w:ascii="Arial" w:hAnsi="Arial" w:eastAsia="Arial"/>
          <w:color w:val="101827"/>
          <w:sz w:val="22"/>
        </w:rPr>
        <w:t>Заявитель принимает уведомление Роспатента за окончательный отказ либо откладывает его рассмотрение и пропускает срок подготовки позиции. Уведомление ещё не означает окончательный отказ.</w:t>
      </w:r>
    </w:p>
    <w:p>
      <w:pPr>
        <w:pStyle w:val="Heading2"/>
      </w:pPr>
      <w:r>
        <w:t>Что может потерять бизнес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возможность устранить недостатки;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право представить аргументированную позицию;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время на рассмотрение заявки;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деньги на повторную подачу.</w:t>
      </w:r>
    </w:p>
    <w:p>
      <w:pPr>
        <w:pStyle w:val="Heading2"/>
      </w:pPr>
      <w:r>
        <w:t>Проверьте себя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Назначен ответственный за заявку.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Контактные данные заявителя актуальны.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Регулярно проверяется корреспонденция.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Ведётся календарь пошлин и сроков.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Каждое сообщение анализируется по существу.</w:t>
      </w:r>
    </w:p>
    <w:p>
      <w:pPr>
        <w:pStyle w:val="Heading2"/>
      </w:pPr>
      <w:r>
        <w:t>Что сделать</w:t>
      </w:r>
    </w:p>
    <w:p>
      <w:pPr>
        <w:pStyle w:val="GuideList"/>
        <w:keepNext/>
        <w:numPr>
          <w:ilvl w:val="0"/>
          <w:numId w:val="22"/>
        </w:numPr>
      </w:pPr>
      <w:r>
        <w:rPr>
          <w:rFonts w:ascii="Arial" w:hAnsi="Arial" w:eastAsia="Arial"/>
          <w:color w:val="101827"/>
          <w:sz w:val="22"/>
        </w:rPr>
        <w:t>Регулярно контролировать статус заявки.</w:t>
      </w:r>
    </w:p>
    <w:p>
      <w:pPr>
        <w:pStyle w:val="GuideList"/>
        <w:keepNext/>
        <w:numPr>
          <w:ilvl w:val="0"/>
          <w:numId w:val="22"/>
        </w:numPr>
      </w:pPr>
      <w:r>
        <w:rPr>
          <w:rFonts w:ascii="Arial" w:hAnsi="Arial" w:eastAsia="Arial"/>
          <w:color w:val="101827"/>
          <w:sz w:val="22"/>
        </w:rPr>
        <w:t>Сразу фиксировать дату получения каждого сообщения.</w:t>
      </w:r>
    </w:p>
    <w:p>
      <w:pPr>
        <w:pStyle w:val="GuideList"/>
        <w:keepNext/>
        <w:numPr>
          <w:ilvl w:val="0"/>
          <w:numId w:val="22"/>
        </w:numPr>
      </w:pPr>
      <w:r>
        <w:rPr>
          <w:rFonts w:ascii="Arial" w:hAnsi="Arial" w:eastAsia="Arial"/>
          <w:color w:val="101827"/>
          <w:sz w:val="22"/>
        </w:rPr>
        <w:t>Определять содержание и срок ответа.</w:t>
      </w:r>
    </w:p>
    <w:p>
      <w:pPr>
        <w:pStyle w:val="GuideList"/>
        <w:keepNext w:val="0"/>
        <w:numPr>
          <w:ilvl w:val="0"/>
          <w:numId w:val="22"/>
        </w:numPr>
      </w:pPr>
      <w:r>
        <w:rPr>
          <w:rFonts w:ascii="Arial" w:hAnsi="Arial" w:eastAsia="Arial"/>
          <w:color w:val="101827"/>
          <w:sz w:val="22"/>
        </w:rPr>
        <w:t>Готовить документы и доводы с учётом конкретной ситуации.</w:t>
      </w:r>
    </w:p>
    <w:p>
      <w:r>
        <w:rPr>
          <w:rFonts w:ascii="Arial" w:hAnsi="Arial" w:eastAsia="Arial"/>
          <w:color w:val="5F6B7A"/>
          <w:sz w:val="21"/>
        </w:rPr>
        <w:t xml:space="preserve">Порядок учёта доводов заявителя: </w:t>
      </w:r>
      <w:hyperlink r:id="rId26">
        <w:r>
          <w:rPr>
            <w:rFonts w:ascii="Arial" w:hAnsi="Arial" w:eastAsia="Arial"/>
            <w:color w:val="2B66A5"/>
            <w:u w:val="single"/>
            <w:sz w:val="21"/>
          </w:rPr>
          <w:t>статья 1499 ГК РФ</w:t>
        </w:r>
      </w:hyperlink>
    </w:p>
    <w:p>
      <w:pPr>
        <w:pStyle w:val="SolutionLabel"/>
      </w:pPr>
      <w:r>
        <w:rPr>
          <w:rFonts w:ascii="Arial" w:hAnsi="Arial" w:eastAsia="Arial"/>
          <w:b/>
          <w:color w:val="F25A00"/>
          <w:sz w:val="20"/>
        </w:rPr>
        <w:t>Решение «Патент 24»</w:t>
      </w:r>
    </w:p>
    <w:p>
      <w:pPr>
        <w:pStyle w:val="Heading2"/>
      </w:pPr>
      <w:r>
        <w:rPr>
          <w:rFonts w:ascii="Arial" w:hAnsi="Arial" w:eastAsia="Arial"/>
          <w:b/>
          <w:color w:val="173B75"/>
          <w:sz w:val="26"/>
        </w:rPr>
        <w:t>Передайте контроль заявки специалисту</w:t>
      </w:r>
    </w:p>
    <w:p>
      <w:pPr>
        <w:keepNext/>
      </w:pPr>
      <w:r>
        <w:rPr>
          <w:rFonts w:ascii="Arial" w:hAnsi="Arial" w:eastAsia="Arial"/>
          <w:color w:val="101827"/>
          <w:sz w:val="22"/>
        </w:rPr>
        <w:t>Возьмём на себя контроль делопроизводства, уведомлений, пошлин и сроков подготовки ответов.</w:t>
      </w:r>
    </w:p>
    <w:p>
      <w:pPr>
        <w:pStyle w:val="CTA"/>
      </w:pPr>
      <w:hyperlink r:id="rId27">
        <w:r>
          <w:rPr>
            <w:rFonts w:ascii="Arial" w:hAnsi="Arial" w:eastAsia="Arial"/>
            <w:color w:val="F25A00"/>
            <w:u w:val="single"/>
            <w:sz w:val="22"/>
            <w:b/>
          </w:rPr>
          <w:t>ПОЛУЧИТЬ СОПРОВОЖДЕНИЕ ЗАЯВКИ</w:t>
        </w:r>
      </w:hyperlink>
    </w:p>
    <w:p>
      <w:pPr>
        <w:pStyle w:val="Heading1"/>
      </w:pPr>
      <w:r>
        <w:t>Ошибка №10. «После получения свидетельства бренд защищён навсегда»</w:t>
      </w:r>
    </w:p>
    <w:p>
      <w:pPr>
        <w:pStyle w:val="Heading2"/>
      </w:pPr>
      <w:r>
        <w:t>В чём риск</w:t>
      </w:r>
    </w:p>
    <w:p>
      <w:pPr/>
      <w:r>
        <w:rPr>
          <w:rFonts w:ascii="Arial" w:hAnsi="Arial" w:eastAsia="Arial"/>
          <w:color w:val="101827"/>
          <w:sz w:val="22"/>
        </w:rPr>
        <w:t>Регистрация — не финал защиты бренда. Товарный знак необходимо использовать, сохранять доказательства использования, контролировать договоры и отслеживать сроки продления. Исключительное право действует десять лет с даты подачи заявки и может продлеваться на десять лет неограниченное количество раз. Охрана также может быть досрочно прекращена для всех или части товаров и услуг вследствие непрерывного неиспользования знака в течение трёх лет.</w:t>
      </w:r>
    </w:p>
    <w:p>
      <w:pPr>
        <w:pStyle w:val="Heading2"/>
      </w:pPr>
      <w:r>
        <w:t>Типовая ситуация</w:t>
      </w:r>
    </w:p>
    <w:p>
      <w:pPr/>
      <w:r>
        <w:rPr>
          <w:rFonts w:ascii="Arial" w:hAnsi="Arial" w:eastAsia="Arial"/>
          <w:color w:val="101827"/>
          <w:sz w:val="22"/>
        </w:rPr>
        <w:t>Свидетельство хранится в архиве, но компания не собирает доказательства использования, не отслеживает сходные заявки и не контролирует дату продления.</w:t>
      </w:r>
    </w:p>
    <w:p>
      <w:pPr>
        <w:pStyle w:val="Heading2"/>
      </w:pPr>
      <w:r>
        <w:t>Что может потерять бизнес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охрану для неиспользуемых товаров и услуг;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срок действия исключительного права;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доказательства для спора с нарушителем;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контроль над использованием бренда партнёрами.</w:t>
      </w:r>
    </w:p>
    <w:p>
      <w:pPr>
        <w:pStyle w:val="Heading2"/>
      </w:pPr>
      <w:r>
        <w:t>Проверьте себя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Ведётся архив доказательств использования.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Контролируются лицензионные отношения.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Отслеживаются сходные заявки и нарушения.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Сведения о правообладателе актуальны.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Дата продления внесена в календарь.</w:t>
      </w:r>
    </w:p>
    <w:p>
      <w:pPr>
        <w:pStyle w:val="Heading2"/>
      </w:pPr>
      <w:r>
        <w:t>Что сделать</w:t>
      </w:r>
    </w:p>
    <w:p>
      <w:pPr>
        <w:pStyle w:val="GuideList"/>
        <w:keepNext/>
        <w:numPr>
          <w:ilvl w:val="0"/>
          <w:numId w:val="23"/>
        </w:numPr>
      </w:pPr>
      <w:r>
        <w:rPr>
          <w:rFonts w:ascii="Arial" w:hAnsi="Arial" w:eastAsia="Arial"/>
          <w:color w:val="101827"/>
          <w:sz w:val="22"/>
        </w:rPr>
        <w:t>Собирать доказательства использования знака.</w:t>
      </w:r>
    </w:p>
    <w:p>
      <w:pPr>
        <w:pStyle w:val="GuideList"/>
        <w:keepNext/>
        <w:numPr>
          <w:ilvl w:val="0"/>
          <w:numId w:val="23"/>
        </w:numPr>
      </w:pPr>
      <w:r>
        <w:rPr>
          <w:rFonts w:ascii="Arial" w:hAnsi="Arial" w:eastAsia="Arial"/>
          <w:color w:val="101827"/>
          <w:sz w:val="22"/>
        </w:rPr>
        <w:t>Контролировать договоры и использование партнёрами.</w:t>
      </w:r>
    </w:p>
    <w:p>
      <w:pPr>
        <w:pStyle w:val="GuideList"/>
        <w:keepNext/>
        <w:numPr>
          <w:ilvl w:val="0"/>
          <w:numId w:val="23"/>
        </w:numPr>
      </w:pPr>
      <w:r>
        <w:rPr>
          <w:rFonts w:ascii="Arial" w:hAnsi="Arial" w:eastAsia="Arial"/>
          <w:color w:val="101827"/>
          <w:sz w:val="22"/>
        </w:rPr>
        <w:t>Отслеживать сходные обозначения.</w:t>
      </w:r>
    </w:p>
    <w:p>
      <w:pPr>
        <w:pStyle w:val="GuideList"/>
        <w:keepNext/>
        <w:numPr>
          <w:ilvl w:val="0"/>
          <w:numId w:val="23"/>
        </w:numPr>
      </w:pPr>
      <w:r>
        <w:rPr>
          <w:rFonts w:ascii="Arial" w:hAnsi="Arial" w:eastAsia="Arial"/>
          <w:color w:val="101827"/>
          <w:sz w:val="22"/>
        </w:rPr>
        <w:t>Проверять сведения в реестре.</w:t>
      </w:r>
    </w:p>
    <w:p>
      <w:pPr>
        <w:pStyle w:val="GuideList"/>
        <w:keepNext w:val="0"/>
        <w:numPr>
          <w:ilvl w:val="0"/>
          <w:numId w:val="23"/>
        </w:numPr>
      </w:pPr>
      <w:r>
        <w:rPr>
          <w:rFonts w:ascii="Arial" w:hAnsi="Arial" w:eastAsia="Arial"/>
          <w:color w:val="101827"/>
          <w:sz w:val="22"/>
        </w:rPr>
        <w:t>Заранее готовиться к продлению.</w:t>
      </w:r>
    </w:p>
    <w:p>
      <w:r>
        <w:rPr>
          <w:rFonts w:ascii="Arial" w:hAnsi="Arial" w:eastAsia="Arial"/>
          <w:color w:val="5F6B7A"/>
          <w:sz w:val="21"/>
        </w:rPr>
        <w:t xml:space="preserve">Правовые основания: </w:t>
      </w:r>
      <w:hyperlink r:id="rId28">
        <w:r>
          <w:rPr>
            <w:rFonts w:ascii="Arial" w:hAnsi="Arial" w:eastAsia="Arial"/>
            <w:color w:val="2B66A5"/>
            <w:u w:val="single"/>
            <w:sz w:val="21"/>
          </w:rPr>
          <w:t>статья 1486 ГК РФ</w:t>
        </w:r>
      </w:hyperlink>
      <w:r>
        <w:rPr>
          <w:rFonts w:ascii="Arial" w:hAnsi="Arial" w:eastAsia="Arial"/>
          <w:color w:val="5F6B7A"/>
          <w:sz w:val="21"/>
        </w:rPr>
        <w:t xml:space="preserve"> и </w:t>
      </w:r>
      <w:hyperlink r:id="rId29">
        <w:r>
          <w:rPr>
            <w:rFonts w:ascii="Arial" w:hAnsi="Arial" w:eastAsia="Arial"/>
            <w:color w:val="2B66A5"/>
            <w:u w:val="single"/>
            <w:sz w:val="21"/>
          </w:rPr>
          <w:t>статья 1491 ГК РФ</w:t>
        </w:r>
      </w:hyperlink>
    </w:p>
    <w:p>
      <w:pPr>
        <w:pStyle w:val="SolutionLabel"/>
      </w:pPr>
      <w:r>
        <w:rPr>
          <w:rFonts w:ascii="Arial" w:hAnsi="Arial" w:eastAsia="Arial"/>
          <w:b/>
          <w:color w:val="F25A00"/>
          <w:sz w:val="20"/>
        </w:rPr>
        <w:t>Решение «Патент 24»</w:t>
      </w:r>
    </w:p>
    <w:p>
      <w:pPr>
        <w:pStyle w:val="Heading2"/>
      </w:pPr>
      <w:r>
        <w:rPr>
          <w:rFonts w:ascii="Arial" w:hAnsi="Arial" w:eastAsia="Arial"/>
          <w:b/>
          <w:color w:val="173B75"/>
          <w:sz w:val="26"/>
        </w:rPr>
        <w:t>Проверьте, как сохранить и усилить защиту бренда</w:t>
      </w:r>
    </w:p>
    <w:p>
      <w:pPr>
        <w:keepNext/>
      </w:pPr>
      <w:r>
        <w:rPr>
          <w:rFonts w:ascii="Arial" w:hAnsi="Arial" w:eastAsia="Arial"/>
          <w:color w:val="101827"/>
          <w:sz w:val="22"/>
        </w:rPr>
        <w:t>Оценим использование знака, договоры, сходные заявки, сроки продления и другие риски после регистрации.</w:t>
      </w:r>
    </w:p>
    <w:p>
      <w:pPr>
        <w:pStyle w:val="CTA"/>
      </w:pPr>
      <w:hyperlink r:id="rId30">
        <w:r>
          <w:rPr>
            <w:rFonts w:ascii="Arial" w:hAnsi="Arial" w:eastAsia="Arial"/>
            <w:color w:val="F25A00"/>
            <w:u w:val="single"/>
            <w:sz w:val="22"/>
            <w:b/>
          </w:rPr>
          <w:t>ПРОВЕРИТЬ ЗАЩИТУ БРЕНДА</w:t>
        </w:r>
      </w:hyperlink>
    </w:p>
    <w:p>
      <w:pPr>
        <w:pStyle w:val="Heading1"/>
        <w:pageBreakBefore/>
      </w:pPr>
      <w:r>
        <w:t>Итоговый чек-лист</w:t>
      </w:r>
    </w:p>
    <w:p>
      <w:pPr>
        <w:pStyle w:val="Heading2"/>
      </w:pPr>
      <w:r>
        <w:t>Готов ли ваш бренд к регистрации товарного знака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Название проверено по товарным знакам и заявкам.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Оценены не только точные, но и сходные обозначения.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Проверка проведена до крупных вложений в запуск.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Обозначение обладает различительной способностью.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Права на логотип оформлены документально.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Выбран обоснованный правообладатель.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Перечень МКТУ соответствует бизнес-модели.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Выбран подходящий вид товарного знака.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Назначен ответственный за контроль заявки.</w:t>
      </w:r>
    </w:p>
    <w:p>
      <w:pPr>
        <w:pStyle w:val="GuideList"/>
        <w:numPr>
          <w:ilvl w:val="0"/>
          <w:numId w:val="11"/>
        </w:numPr>
      </w:pPr>
      <w:r>
        <w:rPr>
          <w:rFonts w:ascii="Arial" w:hAnsi="Arial" w:eastAsia="Arial"/>
          <w:color w:val="101827"/>
          <w:sz w:val="22"/>
        </w:rPr>
        <w:t>Подготовлен план использования и продления знака.</w:t>
      </w:r>
    </w:p>
    <w:p>
      <w:pPr>
        <w:pStyle w:val="Heading2"/>
      </w:pPr>
      <w:r>
        <w:t>Как оценить результат</w:t>
      </w:r>
    </w:p>
    <w:p>
      <w:pPr/>
      <w:r>
        <w:rPr>
          <w:rFonts w:ascii="Arial" w:hAnsi="Arial" w:eastAsia="Arial"/>
          <w:b/>
          <w:color w:val="101827"/>
          <w:sz w:val="22"/>
        </w:rPr>
        <w:t>Все пункты подтверждены.</w:t>
      </w:r>
      <w:r>
        <w:rPr>
          <w:rFonts w:ascii="Arial" w:hAnsi="Arial" w:eastAsia="Arial"/>
          <w:color w:val="101827"/>
          <w:sz w:val="22"/>
        </w:rPr>
        <w:t xml:space="preserve"> Можно переходить к профессиональной оценке и подготовке заявки.</w:t>
      </w:r>
    </w:p>
    <w:p>
      <w:pPr/>
      <w:r>
        <w:rPr>
          <w:rFonts w:ascii="Arial" w:hAnsi="Arial" w:eastAsia="Arial"/>
          <w:b/>
          <w:color w:val="101827"/>
          <w:sz w:val="22"/>
        </w:rPr>
        <w:t>Есть один или два неясных пункта.</w:t>
      </w:r>
      <w:r>
        <w:rPr>
          <w:rFonts w:ascii="Arial" w:hAnsi="Arial" w:eastAsia="Arial"/>
          <w:color w:val="101827"/>
          <w:sz w:val="22"/>
        </w:rPr>
        <w:t xml:space="preserve"> Уточните их до оплаты пошлин и крупных вложений.</w:t>
      </w:r>
    </w:p>
    <w:p>
      <w:pPr/>
      <w:r>
        <w:rPr>
          <w:rFonts w:ascii="Arial" w:hAnsi="Arial" w:eastAsia="Arial"/>
          <w:b/>
          <w:color w:val="101827"/>
          <w:sz w:val="22"/>
        </w:rPr>
        <w:t>Обнаружено несколько рисков.</w:t>
      </w:r>
      <w:r>
        <w:rPr>
          <w:rFonts w:ascii="Arial" w:hAnsi="Arial" w:eastAsia="Arial"/>
          <w:color w:val="101827"/>
          <w:sz w:val="22"/>
        </w:rPr>
        <w:t xml:space="preserve"> Сначала определите стратегию и только после этого принимайте решение о подаче заявки.</w:t>
      </w:r>
    </w:p>
    <w:p>
      <w:pPr>
        <w:pStyle w:val="CTA"/>
      </w:pPr>
      <w:hyperlink r:id="rId31">
        <w:r>
          <w:rPr>
            <w:rFonts w:ascii="Arial" w:hAnsi="Arial" w:eastAsia="Arial"/>
            <w:color w:val="F25A00"/>
            <w:u w:val="single"/>
            <w:sz w:val="22"/>
            <w:b/>
          </w:rPr>
          <w:t>ПРОВЕРИТЬ БРЕНД ПЕРЕД ПОДАЧЕЙ ЗАЯВКИ</w:t>
        </w:r>
      </w:hyperlink>
    </w:p>
    <w:p>
      <w:pPr>
        <w:pStyle w:val="Heading1"/>
      </w:pPr>
      <w:r>
        <w:t>Сколько будет стоить регистрация</w:t>
      </w:r>
    </w:p>
    <w:p>
      <w:pPr/>
      <w:r>
        <w:rPr>
          <w:rFonts w:ascii="Arial" w:hAnsi="Arial" w:eastAsia="Arial"/>
          <w:color w:val="101827"/>
          <w:sz w:val="22"/>
        </w:rPr>
        <w:t>Итоговый бюджет зависит от: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количества классов МКТУ;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перечня товаров и услуг;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количества обозначений;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формата товарного знака;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необходимости дополнительного поиска и доработки;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выбранного объёма сопровождения;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размеров государственных пошлин на дату совершения юридически значимого действия.</w:t>
      </w:r>
    </w:p>
    <w:p>
      <w:pPr/>
      <w:r>
        <w:rPr>
          <w:rFonts w:ascii="Arial" w:hAnsi="Arial" w:eastAsia="Arial"/>
          <w:color w:val="101827"/>
          <w:sz w:val="22"/>
        </w:rPr>
        <w:t>Получите предварительный расчёт применительно к вашей ситуации.</w:t>
      </w:r>
    </w:p>
    <w:p>
      <w:pPr>
        <w:pStyle w:val="CTA"/>
      </w:pPr>
      <w:hyperlink r:id="rId32">
        <w:r>
          <w:rPr>
            <w:rFonts w:ascii="Arial" w:hAnsi="Arial" w:eastAsia="Arial"/>
            <w:color w:val="F25A00"/>
            <w:u w:val="single"/>
            <w:sz w:val="22"/>
            <w:b/>
          </w:rPr>
          <w:t>РАССЧИТАТЬ СТОИМОСТЬ РЕГИСТРАЦИИ И ПОШЛИН</w:t>
        </w:r>
      </w:hyperlink>
    </w:p>
    <w:p>
      <w:pPr>
        <w:pStyle w:val="Heading1"/>
      </w:pPr>
      <w:r>
        <w:t>Онлайн-встреча с экспертом</w:t>
      </w:r>
    </w:p>
    <w:p>
      <w:pPr>
        <w:pStyle w:val="Heading2"/>
      </w:pPr>
      <w:r>
        <w:t>Разберите риски регистрации вашего товарного знака</w:t>
      </w:r>
    </w:p>
    <w:p>
      <w:pPr/>
      <w:r>
        <w:rPr>
          <w:rFonts w:ascii="Arial" w:hAnsi="Arial" w:eastAsia="Arial"/>
          <w:color w:val="101827"/>
          <w:sz w:val="22"/>
        </w:rPr>
        <w:t>Лидия Чернявская — эксперт по интеллектуальным правам патентного бюро «Патент 24».</w:t>
      </w:r>
    </w:p>
    <w:p>
      <w:pPr/>
      <w:r>
        <w:rPr>
          <w:rFonts w:ascii="Arial" w:hAnsi="Arial" w:eastAsia="Arial"/>
          <w:color w:val="101827"/>
          <w:sz w:val="22"/>
        </w:rPr>
        <w:t>Во время консультации эксперт: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разберёт, какие ошибки из гайда относятся к вашей ситуации;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объяснит, какие сходные товарные знаки требуют дополнительной проверки;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предварительно оценит охраноспособность обозначения;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подскажет, что целесообразнее регистрировать: название, логотип или несколько обозначений;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поможет определить следующий шаг — подавать заявку, доработать знак или изменить стратегию;</w:t>
      </w:r>
    </w:p>
    <w:p>
      <w:pPr>
        <w:pStyle w:val="GuideList"/>
        <w:numPr>
          <w:ilvl w:val="0"/>
          <w:numId w:val="10"/>
        </w:numPr>
      </w:pPr>
      <w:r>
        <w:rPr>
          <w:rFonts w:ascii="Arial" w:hAnsi="Arial" w:eastAsia="Arial"/>
          <w:color w:val="101827"/>
          <w:sz w:val="22"/>
        </w:rPr>
        <w:t>ответит на вопросы понятным языком.</w:t>
      </w:r>
    </w:p>
    <w:p>
      <w:pPr>
        <w:pStyle w:val="CTA"/>
      </w:pPr>
      <w:hyperlink r:id="rId33">
        <w:r>
          <w:rPr>
            <w:rFonts w:ascii="Arial" w:hAnsi="Arial" w:eastAsia="Arial"/>
            <w:color w:val="F25A00"/>
            <w:u w:val="single"/>
            <w:sz w:val="22"/>
            <w:b/>
          </w:rPr>
          <w:t>ЗАПИСАТЬСЯ НА ОНЛАЙН-КОНСУЛЬТАЦИЮ</w:t>
        </w:r>
      </w:hyperlink>
    </w:p>
    <w:p>
      <w:pPr/>
      <w:r>
        <w:rPr>
          <w:rFonts w:ascii="Arial" w:hAnsi="Arial" w:eastAsia="Arial"/>
          <w:color w:val="5F6B7A"/>
          <w:sz w:val="22"/>
        </w:rPr>
        <w:t>Предварительная оценка помогает определить риски и дальнейшие действия, но не гарантирует регистрацию. Окончательное решение принимает Роспатент.</w:t>
      </w:r>
    </w:p>
    <w:p>
      <w:pPr>
        <w:pStyle w:val="Heading1"/>
      </w:pPr>
      <w:r>
        <w:t>Контакты</w:t>
      </w:r>
    </w:p>
    <w:p>
      <w:pPr>
        <w:pStyle w:val="Heading2"/>
      </w:pPr>
      <w:r>
        <w:t>Патентное бюро «Патент 24»</w:t>
      </w:r>
    </w:p>
    <w:p>
      <w:r>
        <w:rPr>
          <w:rFonts w:ascii="Arial" w:hAnsi="Arial" w:eastAsia="Arial"/>
          <w:b/>
          <w:color w:val="101827"/>
          <w:sz w:val="22"/>
        </w:rPr>
        <w:t xml:space="preserve">Сайт: </w:t>
      </w:r>
      <w:hyperlink r:id="rId34">
        <w:r>
          <w:rPr>
            <w:rFonts w:ascii="Arial" w:hAnsi="Arial" w:eastAsia="Arial"/>
            <w:color w:val="2B66A5"/>
            <w:u w:val="single"/>
            <w:sz w:val="21"/>
          </w:rPr>
          <w:t>patent24.online</w:t>
        </w:r>
      </w:hyperlink>
    </w:p>
    <w:p>
      <w:r>
        <w:rPr>
          <w:rFonts w:ascii="Arial" w:hAnsi="Arial" w:eastAsia="Arial"/>
          <w:b/>
          <w:color w:val="101827"/>
          <w:sz w:val="22"/>
        </w:rPr>
        <w:t xml:space="preserve">Телефоны: </w:t>
      </w:r>
      <w:hyperlink r:id="rId35">
        <w:r>
          <w:rPr>
            <w:rFonts w:ascii="Arial" w:hAnsi="Arial" w:eastAsia="Arial"/>
            <w:color w:val="2B66A5"/>
            <w:u w:val="single"/>
            <w:sz w:val="21"/>
          </w:rPr>
          <w:t>8 800 511-39-54</w:t>
        </w:r>
      </w:hyperlink>
      <w:r>
        <w:rPr>
          <w:rFonts w:ascii="Arial" w:hAnsi="Arial" w:eastAsia="Arial"/>
          <w:color w:val="5F6B7A"/>
          <w:sz w:val="22"/>
        </w:rPr>
        <w:t xml:space="preserve">  ·  </w:t>
      </w:r>
      <w:hyperlink r:id="rId36">
        <w:r>
          <w:rPr>
            <w:rFonts w:ascii="Arial" w:hAnsi="Arial" w:eastAsia="Arial"/>
            <w:color w:val="2B66A5"/>
            <w:u w:val="single"/>
            <w:sz w:val="21"/>
          </w:rPr>
          <w:t>+7 909 715-11-24</w:t>
        </w:r>
      </w:hyperlink>
    </w:p>
    <w:p>
      <w:r>
        <w:rPr>
          <w:rFonts w:ascii="Arial" w:hAnsi="Arial" w:eastAsia="Arial"/>
          <w:b/>
          <w:color w:val="101827"/>
          <w:sz w:val="22"/>
        </w:rPr>
        <w:t xml:space="preserve">Электронная почта: </w:t>
      </w:r>
      <w:hyperlink r:id="rId37">
        <w:r>
          <w:rPr>
            <w:rFonts w:ascii="Arial" w:hAnsi="Arial" w:eastAsia="Arial"/>
            <w:color w:val="2B66A5"/>
            <w:u w:val="single"/>
            <w:sz w:val="21"/>
          </w:rPr>
          <w:t>info@patent24.online</w:t>
        </w:r>
      </w:hyperlink>
    </w:p>
    <w:p>
      <w:r>
        <w:rPr>
          <w:rFonts w:ascii="Arial" w:hAnsi="Arial" w:eastAsia="Arial"/>
          <w:b/>
          <w:color w:val="101827"/>
          <w:sz w:val="22"/>
        </w:rPr>
        <w:t xml:space="preserve">Мессенджеры: </w:t>
      </w:r>
      <w:hyperlink r:id="rId38">
        <w:r>
          <w:rPr>
            <w:rFonts w:ascii="Arial" w:hAnsi="Arial" w:eastAsia="Arial"/>
            <w:color w:val="2B66A5"/>
            <w:u w:val="single"/>
            <w:sz w:val="21"/>
          </w:rPr>
          <w:t>Telegram</w:t>
        </w:r>
      </w:hyperlink>
      <w:r>
        <w:rPr>
          <w:rFonts w:ascii="Arial" w:hAnsi="Arial" w:eastAsia="Arial"/>
          <w:color w:val="5F6B7A"/>
          <w:sz w:val="22"/>
        </w:rPr>
        <w:t xml:space="preserve">  ·  </w:t>
      </w:r>
      <w:hyperlink r:id="rId39">
        <w:r>
          <w:rPr>
            <w:rFonts w:ascii="Arial" w:hAnsi="Arial" w:eastAsia="Arial"/>
            <w:color w:val="2B66A5"/>
            <w:u w:val="single"/>
            <w:sz w:val="21"/>
          </w:rPr>
          <w:t>MAX</w:t>
        </w:r>
      </w:hyperlink>
    </w:p>
    <w:p>
      <w:pPr>
        <w:pStyle w:val="Heading2"/>
      </w:pPr>
      <w:r>
        <w:t>Что отправить для предварительной оценки</w:t>
      </w:r>
    </w:p>
    <w:p>
      <w:pPr>
        <w:pStyle w:val="GuideList"/>
        <w:keepNext/>
        <w:numPr>
          <w:ilvl w:val="0"/>
          <w:numId w:val="24"/>
        </w:numPr>
      </w:pPr>
      <w:r>
        <w:rPr>
          <w:rFonts w:ascii="Arial" w:hAnsi="Arial" w:eastAsia="Arial"/>
          <w:color w:val="101827"/>
          <w:sz w:val="22"/>
        </w:rPr>
        <w:t>Название или изображение логотипа.</w:t>
      </w:r>
    </w:p>
    <w:p>
      <w:pPr>
        <w:pStyle w:val="GuideList"/>
        <w:keepNext/>
        <w:numPr>
          <w:ilvl w:val="0"/>
          <w:numId w:val="24"/>
        </w:numPr>
      </w:pPr>
      <w:r>
        <w:rPr>
          <w:rFonts w:ascii="Arial" w:hAnsi="Arial" w:eastAsia="Arial"/>
          <w:color w:val="101827"/>
          <w:sz w:val="22"/>
        </w:rPr>
        <w:t>Краткое описание бизнеса.</w:t>
      </w:r>
    </w:p>
    <w:p>
      <w:pPr>
        <w:pStyle w:val="GuideList"/>
        <w:keepNext/>
        <w:numPr>
          <w:ilvl w:val="0"/>
          <w:numId w:val="24"/>
        </w:numPr>
      </w:pPr>
      <w:r>
        <w:rPr>
          <w:rFonts w:ascii="Arial" w:hAnsi="Arial" w:eastAsia="Arial"/>
          <w:color w:val="101827"/>
          <w:sz w:val="22"/>
        </w:rPr>
        <w:t>Перечень основных товаров или услуг.</w:t>
      </w:r>
    </w:p>
    <w:p>
      <w:pPr>
        <w:pStyle w:val="GuideList"/>
        <w:keepNext/>
        <w:numPr>
          <w:ilvl w:val="0"/>
          <w:numId w:val="24"/>
        </w:numPr>
      </w:pPr>
      <w:r>
        <w:rPr>
          <w:rFonts w:ascii="Arial" w:hAnsi="Arial" w:eastAsia="Arial"/>
          <w:color w:val="101827"/>
          <w:sz w:val="22"/>
        </w:rPr>
        <w:t>Информацию о том, используется ли бренд сейчас.</w:t>
      </w:r>
    </w:p>
    <w:p>
      <w:pPr>
        <w:pStyle w:val="GuideList"/>
        <w:keepNext w:val="0"/>
        <w:numPr>
          <w:ilvl w:val="0"/>
          <w:numId w:val="24"/>
        </w:numPr>
      </w:pPr>
      <w:r>
        <w:rPr>
          <w:rFonts w:ascii="Arial" w:hAnsi="Arial" w:eastAsia="Arial"/>
          <w:color w:val="101827"/>
          <w:sz w:val="22"/>
        </w:rPr>
        <w:t>Ваши вопросы по регистрации.</w:t>
      </w:r>
    </w:p>
    <w:p>
      <w:pPr>
        <w:pStyle w:val="Heading1"/>
      </w:pPr>
      <w:r>
        <w:t>Важная информация</w:t>
      </w:r>
    </w:p>
    <w:p>
      <w:pPr/>
      <w:r>
        <w:rPr>
          <w:rFonts w:ascii="Arial" w:hAnsi="Arial" w:eastAsia="Arial"/>
          <w:color w:val="101827"/>
          <w:sz w:val="22"/>
        </w:rPr>
        <w:t>Материал носит информационный характер и не заменяет юридический анализ конкретного обозначения, документов и найденных товарных знаков.</w:t>
      </w:r>
    </w:p>
    <w:p>
      <w:pPr/>
      <w:r>
        <w:rPr>
          <w:rFonts w:ascii="Arial" w:hAnsi="Arial" w:eastAsia="Arial"/>
          <w:color w:val="101827"/>
          <w:sz w:val="22"/>
        </w:rPr>
        <w:t>Вероятность регистрации оценивается с учётом самого обозначения, товаров и услуг, результатов поиска, сведений о заявителе и других обстоятельств.</w:t>
      </w:r>
    </w:p>
    <w:p>
      <w:pPr/>
      <w:r>
        <w:rPr>
          <w:rFonts w:ascii="Arial" w:hAnsi="Arial" w:eastAsia="Arial"/>
          <w:color w:val="101827"/>
          <w:sz w:val="22"/>
        </w:rPr>
        <w:t>Предварительная проверка не гарантирует государственную регистрацию. Окончательное решение по заявке принимает Роспатент.</w:t>
      </w:r>
    </w:p>
    <w:p>
      <w:pPr/>
      <w:r>
        <w:rPr>
          <w:rFonts w:ascii="Arial" w:hAnsi="Arial" w:eastAsia="Arial"/>
          <w:color w:val="101827"/>
          <w:sz w:val="22"/>
        </w:rPr>
        <w:t>Размер компенсации при нарушении исключительного права определяет суд с учётом обстоятельств конкретного дела.</w:t>
      </w:r>
    </w:p>
    <w:p>
      <w:pPr>
        <w:spacing w:before="400"/>
        <w:jc w:val="center"/>
      </w:pPr>
      <w:r>
        <w:rPr>
          <w:rFonts w:ascii="Arial" w:hAnsi="Arial" w:eastAsia="Arial"/>
          <w:color w:val="5F6B7A"/>
          <w:sz w:val="19"/>
        </w:rPr>
        <w:t>© Патентное бюро «Патент 24», 2026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5F6B7A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5F6B7A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☐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18">
    <w:abstractNumId w:val="17"/>
  </w:num>
  <w:abstractNum w:abstractNumId="18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19">
    <w:abstractNumId w:val="18"/>
  </w:num>
  <w:abstractNum w:abstractNumId="19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20">
    <w:abstractNumId w:val="19"/>
  </w:num>
  <w:abstractNum w:abstractNumId="2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21">
    <w:abstractNumId w:val="20"/>
  </w:num>
  <w:abstractNum w:abstractNumId="21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22">
    <w:abstractNumId w:val="21"/>
  </w:num>
  <w:abstractNum w:abstractNumId="22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23">
    <w:abstractNumId w:val="22"/>
  </w:num>
  <w:abstractNum w:abstractNumId="23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80" w:line="300" w:lineRule="auto"/>
      </w:pPr>
      <w:rPr>
        <w:rFonts w:ascii="Arial" w:hAnsi="Arial" w:eastAsia="Arial"/>
      </w:rPr>
    </w:lvl>
  </w:abstract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"/>
      <w:b w:val="0"/>
      <w:color w:val="10182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76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73B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76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73B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76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0182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eList">
    <w:name w:val="Guide List"/>
    <w:pPr>
      <w:spacing w:before="0" w:after="80" w:line="300" w:lineRule="auto"/>
    </w:pPr>
    <w:rPr>
      <w:rFonts w:ascii="Arial" w:hAnsi="Arial" w:eastAsia="Arial"/>
      <w:b w:val="0"/>
      <w:color w:val="101827"/>
      <w:sz w:val="22"/>
    </w:rPr>
  </w:style>
  <w:style w:type="paragraph" w:customStyle="1" w:styleId="CTA">
    <w:name w:val="CTA"/>
    <w:pPr>
      <w:spacing w:before="100" w:after="240" w:line="276" w:lineRule="auto"/>
    </w:pPr>
    <w:rPr>
      <w:rFonts w:ascii="Arial" w:hAnsi="Arial" w:eastAsia="Arial"/>
      <w:b/>
      <w:color w:val="F25A00"/>
      <w:sz w:val="22"/>
    </w:rPr>
  </w:style>
  <w:style w:type="paragraph" w:customStyle="1" w:styleId="SolutionLabel">
    <w:name w:val="Solution Label"/>
    <w:pPr>
      <w:keepNext/>
      <w:spacing w:before="240" w:after="0" w:line="276" w:lineRule="auto"/>
    </w:pPr>
    <w:rPr>
      <w:rFonts w:ascii="Arial" w:hAnsi="Arial" w:eastAsia="Arial"/>
      <w:b/>
      <w:color w:val="F25A00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patent24.online/?utm_source=pdf&amp;utm_medium=lead_magnet&amp;utm_campaign=guide_10_errors&amp;utm_content=cover_site" TargetMode="External"/><Relationship Id="rId14" Type="http://schemas.openxmlformats.org/officeDocument/2006/relationships/hyperlink" Target="https://patent24.online/10-oshibok/?utm_source=pdf&amp;utm_medium=lead_magnet&amp;utm_campaign=guide_10_errors&amp;utm_content=source_article" TargetMode="External"/><Relationship Id="rId15" Type="http://schemas.openxmlformats.org/officeDocument/2006/relationships/hyperlink" Target="https://www.consultant.ru/document/cons_doc_LAW_64629/44bf2477089f6ece7185aaf3e37bae5ace2954cf/" TargetMode="External"/><Relationship Id="rId16" Type="http://schemas.openxmlformats.org/officeDocument/2006/relationships/hyperlink" Target="https://patent24.online/proverka/?utm_source=pdf&amp;utm_medium=lead_magnet&amp;utm_campaign=guide_10_errors&amp;utm_content=error_01_conflict" TargetMode="External"/><Relationship Id="rId17" Type="http://schemas.openxmlformats.org/officeDocument/2006/relationships/hyperlink" Target="https://patent24.online/proverka/?utm_source=pdf&amp;utm_medium=lead_magnet&amp;utm_campaign=guide_10_errors&amp;utm_content=error_02_similarity" TargetMode="External"/><Relationship Id="rId18" Type="http://schemas.openxmlformats.org/officeDocument/2006/relationships/hyperlink" Target="https://patent24.online/proverka/?utm_source=pdf&amp;utm_medium=lead_magnet&amp;utm_campaign=guide_10_errors&amp;utm_content=error_03_prelaunch" TargetMode="External"/><Relationship Id="rId19" Type="http://schemas.openxmlformats.org/officeDocument/2006/relationships/hyperlink" Target="https://www.consultant.ru/document/cons_doc_LAW_64629/2e83c7a3d54808ca80d8f0b2a034caa0f7122b57/" TargetMode="External"/><Relationship Id="rId20" Type="http://schemas.openxmlformats.org/officeDocument/2006/relationships/hyperlink" Target="https://patent24.online/proverka/?utm_source=pdf&amp;utm_medium=lead_magnet&amp;utm_campaign=guide_10_errors&amp;utm_content=error_04_protectability" TargetMode="External"/><Relationship Id="rId21" Type="http://schemas.openxmlformats.org/officeDocument/2006/relationships/hyperlink" Target="https://patent24.online/proverka/?utm_source=pdf&amp;utm_medium=lead_magnet&amp;utm_campaign=guide_10_errors&amp;utm_content=error_05_logo_rights" TargetMode="External"/><Relationship Id="rId22" Type="http://schemas.openxmlformats.org/officeDocument/2006/relationships/hyperlink" Target="https://patent24.online/proverka/?utm_source=pdf&amp;utm_medium=lead_magnet&amp;utm_campaign=guide_10_errors&amp;utm_content=error_06_right_holder" TargetMode="External"/><Relationship Id="rId23" Type="http://schemas.openxmlformats.org/officeDocument/2006/relationships/hyperlink" Target="https://www.wipo.int/classifications/nice/en/" TargetMode="External"/><Relationship Id="rId24" Type="http://schemas.openxmlformats.org/officeDocument/2006/relationships/hyperlink" Target="https://patent24.online/registraciya/?utm_source=pdf&amp;utm_medium=lead_magnet&amp;utm_campaign=guide_10_errors&amp;utm_content=error_07_mktu" TargetMode="External"/><Relationship Id="rId25" Type="http://schemas.openxmlformats.org/officeDocument/2006/relationships/hyperlink" Target="https://patent24.online/registraciya/?utm_source=pdf&amp;utm_medium=lead_magnet&amp;utm_campaign=guide_10_errors&amp;utm_content=error_08_mark_format#chto-registriruem" TargetMode="External"/><Relationship Id="rId26" Type="http://schemas.openxmlformats.org/officeDocument/2006/relationships/hyperlink" Target="https://www.consultant.ru/document/cons_doc_LAW_64629/42114f8819a5a871c211331ca2b2d5ae1ebda818/" TargetMode="External"/><Relationship Id="rId27" Type="http://schemas.openxmlformats.org/officeDocument/2006/relationships/hyperlink" Target="https://patent24.online/registraciya/?utm_source=pdf&amp;utm_medium=lead_magnet&amp;utm_campaign=guide_10_errors&amp;utm_content=error_09_application_support#etapy-registracii" TargetMode="External"/><Relationship Id="rId28" Type="http://schemas.openxmlformats.org/officeDocument/2006/relationships/hyperlink" Target="https://www.consultant.ru/document/cons_doc_LAW_64629/2c3f5881920b5dc53529b5bb31e782624a107abb/" TargetMode="External"/><Relationship Id="rId29" Type="http://schemas.openxmlformats.org/officeDocument/2006/relationships/hyperlink" Target="https://www.consultant.ru/document/cons_doc_LAW_64629/b750f79795c779e92bb91e22a676aa4017c4f459/" TargetMode="External"/><Relationship Id="rId30" Type="http://schemas.openxmlformats.org/officeDocument/2006/relationships/hyperlink" Target="https://patent24.online/registraciya/?utm_source=pdf&amp;utm_medium=lead_magnet&amp;utm_campaign=guide_10_errors&amp;utm_content=error_10_brand_protection" TargetMode="External"/><Relationship Id="rId31" Type="http://schemas.openxmlformats.org/officeDocument/2006/relationships/hyperlink" Target="https://patent24.online/proverka/?utm_source=pdf&amp;utm_medium=lead_magnet&amp;utm_campaign=guide_10_errors&amp;utm_content=final_check" TargetMode="External"/><Relationship Id="rId32" Type="http://schemas.openxmlformats.org/officeDocument/2006/relationships/hyperlink" Target="https://patent24.online/registraciya/?utm_source=pdf&amp;utm_medium=lead_magnet&amp;utm_campaign=guide_10_errors&amp;utm_content=cost_calculation#raschet-registraciya" TargetMode="External"/><Relationship Id="rId33" Type="http://schemas.openxmlformats.org/officeDocument/2006/relationships/hyperlink" Target="https://patent24.online/proverka/?utm_source=pdf&amp;utm_medium=lead_magnet&amp;utm_campaign=guide_10_errors&amp;utm_content=lidia_consultation" TargetMode="External"/><Relationship Id="rId34" Type="http://schemas.openxmlformats.org/officeDocument/2006/relationships/hyperlink" Target="https://patent24.online/?utm_source=pdf&amp;utm_medium=lead_magnet&amp;utm_campaign=guide_10_errors&amp;utm_content=footer_site" TargetMode="External"/><Relationship Id="rId35" Type="http://schemas.openxmlformats.org/officeDocument/2006/relationships/hyperlink" Target="tel:88005113954" TargetMode="External"/><Relationship Id="rId36" Type="http://schemas.openxmlformats.org/officeDocument/2006/relationships/hyperlink" Target="tel:+79097151124" TargetMode="External"/><Relationship Id="rId37" Type="http://schemas.openxmlformats.org/officeDocument/2006/relationships/hyperlink" Target="mailto:info@patent24.online?subject=&#1042;&#1086;&#1087;&#1088;&#1086;&#1089;%20&#1087;&#1086;%20&#1088;&#1077;&#1075;&#1080;&#1089;&#1090;&#1088;&#1072;&#1094;&#1080;&#1080;%20&#1090;&#1086;&#1074;&#1072;&#1088;&#1085;&#1086;&#1075;&#1086;%20&#1079;&#1085;&#1072;&#1082;&#1072;" TargetMode="External"/><Relationship Id="rId38" Type="http://schemas.openxmlformats.org/officeDocument/2006/relationships/hyperlink" Target="https://t.me/patent24online" TargetMode="External"/><Relationship Id="rId39" Type="http://schemas.openxmlformats.org/officeDocument/2006/relationships/hyperlink" Target="https://max.ru/id7751227590_2_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ошибок при регистрации товарного знака</dc:title>
  <dc:subject>Практический гайд патентного бюро «Патент 24»</dc:subject>
  <dc:creator>Патентное бюро «Патент 24»</dc:creator>
  <cp:keywords>товарный знак, регистрация, Роспатент, МКТУ, бренд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